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CA463" w14:textId="77777777" w:rsidR="006E7A7E" w:rsidRPr="00391E35" w:rsidRDefault="006E7A7E" w:rsidP="006E7A7E">
      <w:pPr>
        <w:jc w:val="center"/>
        <w:rPr>
          <w:i/>
          <w:iCs/>
          <w:sz w:val="32"/>
          <w:szCs w:val="32"/>
        </w:rPr>
      </w:pPr>
      <w:bookmarkStart w:id="0" w:name="_Hlk219800397"/>
      <w:r w:rsidRPr="00391E35">
        <w:rPr>
          <w:i/>
          <w:iCs/>
          <w:sz w:val="28"/>
          <w:szCs w:val="28"/>
        </w:rPr>
        <w:t>L</w:t>
      </w:r>
      <w:r w:rsidRPr="00391E35">
        <w:rPr>
          <w:i/>
          <w:iCs/>
          <w:sz w:val="32"/>
          <w:szCs w:val="32"/>
        </w:rPr>
        <w:t xml:space="preserve">as Ciencias Sociales en la Globalización y Sostenibilidad </w:t>
      </w:r>
    </w:p>
    <w:p w14:paraId="3CD53265" w14:textId="77777777" w:rsidR="006E7A7E" w:rsidRDefault="006E7A7E" w:rsidP="006E7A7E">
      <w:pPr>
        <w:spacing w:after="0" w:line="240" w:lineRule="auto"/>
        <w:rPr>
          <w:rFonts w:ascii="Arial" w:hAnsi="Arial" w:cs="Arial"/>
          <w:b/>
          <w:bCs/>
          <w:sz w:val="24"/>
          <w:szCs w:val="24"/>
        </w:rPr>
      </w:pPr>
    </w:p>
    <w:p w14:paraId="02D60670" w14:textId="77777777" w:rsidR="006E7A7E" w:rsidRDefault="006E7A7E" w:rsidP="006E7A7E">
      <w:pPr>
        <w:spacing w:after="0" w:line="240" w:lineRule="auto"/>
        <w:rPr>
          <w:rFonts w:ascii="Arial" w:hAnsi="Arial" w:cs="Arial"/>
          <w:b/>
          <w:bCs/>
          <w:sz w:val="24"/>
          <w:szCs w:val="24"/>
        </w:rPr>
      </w:pPr>
    </w:p>
    <w:p w14:paraId="08B5E0F3" w14:textId="77777777" w:rsidR="006E7A7E" w:rsidRDefault="006E7A7E" w:rsidP="006E7A7E">
      <w:pPr>
        <w:spacing w:after="0" w:line="240" w:lineRule="auto"/>
        <w:rPr>
          <w:rFonts w:ascii="Arial" w:hAnsi="Arial" w:cs="Arial"/>
          <w:b/>
          <w:bCs/>
          <w:sz w:val="24"/>
          <w:szCs w:val="24"/>
        </w:rPr>
      </w:pPr>
    </w:p>
    <w:p w14:paraId="02907165" w14:textId="77777777" w:rsidR="006E7A7E" w:rsidRDefault="006E7A7E" w:rsidP="006E7A7E">
      <w:pPr>
        <w:spacing w:after="0" w:line="240" w:lineRule="auto"/>
        <w:rPr>
          <w:rFonts w:ascii="Arial" w:hAnsi="Arial" w:cs="Arial"/>
          <w:b/>
          <w:bCs/>
          <w:sz w:val="24"/>
          <w:szCs w:val="24"/>
        </w:rPr>
      </w:pPr>
    </w:p>
    <w:p w14:paraId="1BAF6010" w14:textId="44EEAEE6" w:rsidR="006E7A7E" w:rsidRPr="00634580" w:rsidRDefault="006E7A7E" w:rsidP="00634580">
      <w:pPr>
        <w:spacing w:after="0" w:line="360" w:lineRule="auto"/>
        <w:jc w:val="center"/>
        <w:rPr>
          <w:rFonts w:ascii="Arial" w:hAnsi="Arial" w:cs="Arial"/>
          <w:sz w:val="24"/>
          <w:szCs w:val="24"/>
        </w:rPr>
      </w:pPr>
      <w:r w:rsidRPr="00634580">
        <w:rPr>
          <w:rFonts w:ascii="Arial" w:hAnsi="Arial" w:cs="Arial"/>
          <w:sz w:val="24"/>
          <w:szCs w:val="24"/>
        </w:rPr>
        <w:t>Lilián Patricia Parra López</w:t>
      </w:r>
    </w:p>
    <w:p w14:paraId="04A7DB02" w14:textId="6B6044CC" w:rsidR="006E7A7E" w:rsidRPr="00634580" w:rsidRDefault="006E7A7E" w:rsidP="00634580">
      <w:pPr>
        <w:spacing w:after="0" w:line="360" w:lineRule="auto"/>
        <w:jc w:val="center"/>
        <w:rPr>
          <w:rFonts w:ascii="Arial" w:hAnsi="Arial" w:cs="Arial"/>
          <w:sz w:val="24"/>
          <w:szCs w:val="24"/>
        </w:rPr>
      </w:pPr>
      <w:r w:rsidRPr="00634580">
        <w:rPr>
          <w:rFonts w:ascii="Arial" w:hAnsi="Arial" w:cs="Arial"/>
          <w:sz w:val="24"/>
          <w:szCs w:val="24"/>
        </w:rPr>
        <w:t>Beatriz Adriana Corona Figueroa</w:t>
      </w:r>
    </w:p>
    <w:p w14:paraId="4A7C91E5" w14:textId="69455AA0" w:rsidR="006E7A7E" w:rsidRPr="00634580" w:rsidRDefault="006E7A7E" w:rsidP="00634580">
      <w:pPr>
        <w:spacing w:after="0" w:line="360" w:lineRule="auto"/>
        <w:jc w:val="center"/>
        <w:rPr>
          <w:rFonts w:ascii="Arial" w:hAnsi="Arial" w:cs="Arial"/>
          <w:sz w:val="24"/>
          <w:szCs w:val="24"/>
        </w:rPr>
      </w:pPr>
      <w:r w:rsidRPr="00634580">
        <w:rPr>
          <w:rFonts w:ascii="Arial" w:hAnsi="Arial" w:cs="Arial"/>
          <w:sz w:val="24"/>
          <w:szCs w:val="24"/>
        </w:rPr>
        <w:t>Simona Arroyo Martínez</w:t>
      </w:r>
    </w:p>
    <w:p w14:paraId="0C2CD17A" w14:textId="670B27CD" w:rsidR="006E7A7E" w:rsidRPr="00634580" w:rsidRDefault="006E7A7E" w:rsidP="00634580">
      <w:pPr>
        <w:spacing w:after="0" w:line="360" w:lineRule="auto"/>
        <w:jc w:val="center"/>
        <w:rPr>
          <w:rFonts w:ascii="Arial" w:hAnsi="Arial" w:cs="Arial"/>
          <w:sz w:val="24"/>
          <w:szCs w:val="24"/>
        </w:rPr>
      </w:pPr>
      <w:r w:rsidRPr="00634580">
        <w:rPr>
          <w:rFonts w:ascii="Arial" w:hAnsi="Arial" w:cs="Arial"/>
          <w:sz w:val="24"/>
          <w:szCs w:val="24"/>
        </w:rPr>
        <w:t>Coordinadoras</w:t>
      </w:r>
    </w:p>
    <w:p w14:paraId="060444BA" w14:textId="77777777" w:rsidR="006E7A7E" w:rsidRPr="00634580" w:rsidRDefault="006E7A7E" w:rsidP="00634580">
      <w:pPr>
        <w:spacing w:after="0" w:line="360" w:lineRule="auto"/>
        <w:rPr>
          <w:rFonts w:ascii="Arial" w:hAnsi="Arial" w:cs="Arial"/>
          <w:sz w:val="24"/>
          <w:szCs w:val="24"/>
        </w:rPr>
      </w:pPr>
    </w:p>
    <w:p w14:paraId="1C4210FB" w14:textId="77777777" w:rsidR="006E7A7E" w:rsidRPr="00634580" w:rsidRDefault="006E7A7E" w:rsidP="00634580">
      <w:pPr>
        <w:spacing w:after="0" w:line="360" w:lineRule="auto"/>
        <w:rPr>
          <w:rFonts w:ascii="Arial" w:hAnsi="Arial" w:cs="Arial"/>
          <w:sz w:val="24"/>
          <w:szCs w:val="24"/>
        </w:rPr>
      </w:pPr>
    </w:p>
    <w:p w14:paraId="5A07448C" w14:textId="77777777" w:rsidR="006E7A7E" w:rsidRDefault="006E7A7E" w:rsidP="006E7A7E">
      <w:pPr>
        <w:spacing w:after="0" w:line="240" w:lineRule="auto"/>
        <w:rPr>
          <w:rFonts w:ascii="Arial" w:hAnsi="Arial" w:cs="Arial"/>
          <w:b/>
          <w:bCs/>
          <w:sz w:val="24"/>
          <w:szCs w:val="24"/>
        </w:rPr>
      </w:pPr>
    </w:p>
    <w:p w14:paraId="480827B6" w14:textId="77777777" w:rsidR="006E7A7E" w:rsidRDefault="006E7A7E" w:rsidP="006E7A7E">
      <w:pPr>
        <w:spacing w:after="0" w:line="240" w:lineRule="auto"/>
        <w:rPr>
          <w:rFonts w:ascii="Arial" w:hAnsi="Arial" w:cs="Arial"/>
          <w:b/>
          <w:bCs/>
          <w:sz w:val="24"/>
          <w:szCs w:val="24"/>
        </w:rPr>
      </w:pPr>
    </w:p>
    <w:p w14:paraId="2EC44236" w14:textId="77777777" w:rsidR="006E7A7E" w:rsidRDefault="006E7A7E" w:rsidP="006E7A7E">
      <w:pPr>
        <w:spacing w:after="0" w:line="240" w:lineRule="auto"/>
        <w:rPr>
          <w:rFonts w:ascii="Arial" w:hAnsi="Arial" w:cs="Arial"/>
          <w:b/>
          <w:bCs/>
          <w:sz w:val="24"/>
          <w:szCs w:val="24"/>
        </w:rPr>
      </w:pPr>
    </w:p>
    <w:p w14:paraId="6FBF99C0" w14:textId="77777777" w:rsidR="006E7A7E" w:rsidRDefault="006E7A7E" w:rsidP="006E7A7E">
      <w:pPr>
        <w:spacing w:after="0" w:line="240" w:lineRule="auto"/>
        <w:rPr>
          <w:rFonts w:ascii="Arial" w:hAnsi="Arial" w:cs="Arial"/>
          <w:b/>
          <w:bCs/>
          <w:sz w:val="24"/>
          <w:szCs w:val="24"/>
        </w:rPr>
      </w:pPr>
    </w:p>
    <w:p w14:paraId="74881B83" w14:textId="77777777" w:rsidR="006E7A7E" w:rsidRDefault="006E7A7E" w:rsidP="006E7A7E">
      <w:pPr>
        <w:spacing w:after="0" w:line="240" w:lineRule="auto"/>
        <w:rPr>
          <w:rFonts w:ascii="Arial" w:hAnsi="Arial" w:cs="Arial"/>
          <w:b/>
          <w:bCs/>
          <w:sz w:val="24"/>
          <w:szCs w:val="24"/>
        </w:rPr>
      </w:pPr>
    </w:p>
    <w:p w14:paraId="6D4AB268" w14:textId="77777777" w:rsidR="006E7A7E" w:rsidRDefault="006E7A7E" w:rsidP="006E7A7E">
      <w:pPr>
        <w:spacing w:after="0" w:line="240" w:lineRule="auto"/>
        <w:rPr>
          <w:rFonts w:ascii="Arial" w:hAnsi="Arial" w:cs="Arial"/>
          <w:b/>
          <w:bCs/>
          <w:sz w:val="24"/>
          <w:szCs w:val="24"/>
        </w:rPr>
      </w:pPr>
    </w:p>
    <w:p w14:paraId="717589BF" w14:textId="77777777" w:rsidR="006E7A7E" w:rsidRDefault="006E7A7E" w:rsidP="006E7A7E">
      <w:pPr>
        <w:spacing w:after="0" w:line="240" w:lineRule="auto"/>
        <w:rPr>
          <w:rFonts w:ascii="Arial" w:hAnsi="Arial" w:cs="Arial"/>
          <w:b/>
          <w:bCs/>
          <w:sz w:val="24"/>
          <w:szCs w:val="24"/>
        </w:rPr>
      </w:pPr>
    </w:p>
    <w:p w14:paraId="3A0A5E03" w14:textId="77777777" w:rsidR="006E7A7E" w:rsidRDefault="006E7A7E" w:rsidP="006E7A7E">
      <w:pPr>
        <w:spacing w:after="0" w:line="240" w:lineRule="auto"/>
        <w:rPr>
          <w:rFonts w:ascii="Arial" w:hAnsi="Arial" w:cs="Arial"/>
          <w:b/>
          <w:bCs/>
          <w:sz w:val="24"/>
          <w:szCs w:val="24"/>
        </w:rPr>
      </w:pPr>
    </w:p>
    <w:p w14:paraId="44B9FBEB" w14:textId="77777777" w:rsidR="006E7A7E" w:rsidRDefault="006E7A7E" w:rsidP="006E7A7E">
      <w:pPr>
        <w:spacing w:after="0" w:line="240" w:lineRule="auto"/>
        <w:rPr>
          <w:rFonts w:ascii="Arial" w:hAnsi="Arial" w:cs="Arial"/>
          <w:b/>
          <w:bCs/>
          <w:sz w:val="24"/>
          <w:szCs w:val="24"/>
        </w:rPr>
      </w:pPr>
    </w:p>
    <w:p w14:paraId="24892A45" w14:textId="77777777" w:rsidR="006E7A7E" w:rsidRDefault="006E7A7E" w:rsidP="006E7A7E">
      <w:pPr>
        <w:spacing w:after="0" w:line="240" w:lineRule="auto"/>
        <w:rPr>
          <w:rFonts w:ascii="Arial" w:hAnsi="Arial" w:cs="Arial"/>
          <w:b/>
          <w:bCs/>
          <w:sz w:val="24"/>
          <w:szCs w:val="24"/>
        </w:rPr>
      </w:pPr>
    </w:p>
    <w:p w14:paraId="29E0C8F3" w14:textId="77777777" w:rsidR="006E7A7E" w:rsidRDefault="006E7A7E" w:rsidP="006E7A7E">
      <w:pPr>
        <w:spacing w:after="0" w:line="240" w:lineRule="auto"/>
        <w:rPr>
          <w:rFonts w:ascii="Arial" w:hAnsi="Arial" w:cs="Arial"/>
          <w:b/>
          <w:bCs/>
          <w:sz w:val="24"/>
          <w:szCs w:val="24"/>
        </w:rPr>
      </w:pPr>
    </w:p>
    <w:p w14:paraId="597069DA" w14:textId="77777777" w:rsidR="006E7A7E" w:rsidRDefault="006E7A7E" w:rsidP="006E7A7E">
      <w:pPr>
        <w:spacing w:after="0" w:line="240" w:lineRule="auto"/>
        <w:rPr>
          <w:rFonts w:ascii="Arial" w:hAnsi="Arial" w:cs="Arial"/>
          <w:b/>
          <w:bCs/>
          <w:sz w:val="24"/>
          <w:szCs w:val="24"/>
        </w:rPr>
      </w:pPr>
    </w:p>
    <w:p w14:paraId="394A5CBF" w14:textId="77777777" w:rsidR="006E7A7E" w:rsidRDefault="006E7A7E" w:rsidP="006E7A7E">
      <w:pPr>
        <w:spacing w:after="0" w:line="240" w:lineRule="auto"/>
        <w:rPr>
          <w:rFonts w:ascii="Arial" w:hAnsi="Arial" w:cs="Arial"/>
          <w:b/>
          <w:bCs/>
          <w:sz w:val="24"/>
          <w:szCs w:val="24"/>
        </w:rPr>
      </w:pPr>
    </w:p>
    <w:p w14:paraId="2398F6F5" w14:textId="77777777" w:rsidR="006E7A7E" w:rsidRDefault="006E7A7E" w:rsidP="006E7A7E">
      <w:pPr>
        <w:spacing w:after="0" w:line="240" w:lineRule="auto"/>
        <w:rPr>
          <w:rFonts w:ascii="Arial" w:hAnsi="Arial" w:cs="Arial"/>
          <w:b/>
          <w:bCs/>
          <w:sz w:val="24"/>
          <w:szCs w:val="24"/>
        </w:rPr>
      </w:pPr>
    </w:p>
    <w:p w14:paraId="62CDB4F4" w14:textId="77777777" w:rsidR="006E7A7E" w:rsidRDefault="006E7A7E" w:rsidP="006E7A7E">
      <w:pPr>
        <w:spacing w:after="0" w:line="240" w:lineRule="auto"/>
        <w:rPr>
          <w:rFonts w:ascii="Arial" w:hAnsi="Arial" w:cs="Arial"/>
          <w:b/>
          <w:bCs/>
          <w:sz w:val="24"/>
          <w:szCs w:val="24"/>
        </w:rPr>
      </w:pPr>
    </w:p>
    <w:p w14:paraId="7CD0964B" w14:textId="77777777" w:rsidR="006E7A7E" w:rsidRDefault="006E7A7E" w:rsidP="006E7A7E">
      <w:pPr>
        <w:spacing w:after="0" w:line="240" w:lineRule="auto"/>
        <w:rPr>
          <w:rFonts w:ascii="Arial" w:hAnsi="Arial" w:cs="Arial"/>
          <w:b/>
          <w:bCs/>
          <w:sz w:val="24"/>
          <w:szCs w:val="24"/>
        </w:rPr>
      </w:pPr>
    </w:p>
    <w:p w14:paraId="2D7C8965" w14:textId="77777777" w:rsidR="006E7A7E" w:rsidRDefault="006E7A7E" w:rsidP="006E7A7E">
      <w:pPr>
        <w:spacing w:after="0" w:line="240" w:lineRule="auto"/>
        <w:rPr>
          <w:rFonts w:ascii="Arial" w:hAnsi="Arial" w:cs="Arial"/>
          <w:b/>
          <w:bCs/>
          <w:sz w:val="24"/>
          <w:szCs w:val="24"/>
        </w:rPr>
      </w:pPr>
    </w:p>
    <w:p w14:paraId="623CDE6B" w14:textId="77777777" w:rsidR="006E7A7E" w:rsidRDefault="006E7A7E" w:rsidP="006E7A7E">
      <w:pPr>
        <w:spacing w:after="0" w:line="240" w:lineRule="auto"/>
        <w:rPr>
          <w:rFonts w:ascii="Arial" w:hAnsi="Arial" w:cs="Arial"/>
          <w:b/>
          <w:bCs/>
          <w:sz w:val="24"/>
          <w:szCs w:val="24"/>
        </w:rPr>
      </w:pPr>
    </w:p>
    <w:p w14:paraId="54CBE299" w14:textId="77777777" w:rsidR="006E7A7E" w:rsidRDefault="006E7A7E" w:rsidP="006E7A7E">
      <w:pPr>
        <w:spacing w:after="0" w:line="240" w:lineRule="auto"/>
        <w:rPr>
          <w:rFonts w:ascii="Arial" w:hAnsi="Arial" w:cs="Arial"/>
          <w:b/>
          <w:bCs/>
          <w:sz w:val="24"/>
          <w:szCs w:val="24"/>
        </w:rPr>
      </w:pPr>
    </w:p>
    <w:p w14:paraId="0EF79177" w14:textId="77777777" w:rsidR="006E7A7E" w:rsidRDefault="006E7A7E" w:rsidP="006E7A7E">
      <w:pPr>
        <w:spacing w:after="0" w:line="240" w:lineRule="auto"/>
        <w:rPr>
          <w:rFonts w:ascii="Arial" w:hAnsi="Arial" w:cs="Arial"/>
          <w:b/>
          <w:bCs/>
          <w:sz w:val="24"/>
          <w:szCs w:val="24"/>
        </w:rPr>
      </w:pPr>
    </w:p>
    <w:p w14:paraId="1CD10107" w14:textId="77777777" w:rsidR="006E7A7E" w:rsidRDefault="006E7A7E" w:rsidP="006E7A7E">
      <w:pPr>
        <w:spacing w:after="0" w:line="240" w:lineRule="auto"/>
        <w:rPr>
          <w:rFonts w:ascii="Arial" w:hAnsi="Arial" w:cs="Arial"/>
          <w:b/>
          <w:bCs/>
          <w:sz w:val="24"/>
          <w:szCs w:val="24"/>
        </w:rPr>
      </w:pPr>
    </w:p>
    <w:p w14:paraId="6A558B08" w14:textId="77777777" w:rsidR="006E7A7E" w:rsidRDefault="006E7A7E" w:rsidP="006E7A7E">
      <w:pPr>
        <w:spacing w:after="0" w:line="240" w:lineRule="auto"/>
        <w:rPr>
          <w:rFonts w:ascii="Arial" w:hAnsi="Arial" w:cs="Arial"/>
          <w:b/>
          <w:bCs/>
          <w:sz w:val="24"/>
          <w:szCs w:val="24"/>
        </w:rPr>
      </w:pPr>
    </w:p>
    <w:p w14:paraId="3910DB61" w14:textId="77777777" w:rsidR="006E7A7E" w:rsidRDefault="006E7A7E" w:rsidP="006E7A7E">
      <w:pPr>
        <w:spacing w:after="0" w:line="240" w:lineRule="auto"/>
        <w:rPr>
          <w:rFonts w:ascii="Arial" w:hAnsi="Arial" w:cs="Arial"/>
          <w:b/>
          <w:bCs/>
          <w:sz w:val="24"/>
          <w:szCs w:val="24"/>
        </w:rPr>
      </w:pPr>
    </w:p>
    <w:p w14:paraId="4BD4B901" w14:textId="77777777" w:rsidR="006E7A7E" w:rsidRDefault="006E7A7E" w:rsidP="006E7A7E">
      <w:pPr>
        <w:spacing w:after="0" w:line="240" w:lineRule="auto"/>
        <w:rPr>
          <w:rFonts w:ascii="Arial" w:hAnsi="Arial" w:cs="Arial"/>
          <w:b/>
          <w:bCs/>
          <w:sz w:val="24"/>
          <w:szCs w:val="24"/>
        </w:rPr>
      </w:pPr>
    </w:p>
    <w:p w14:paraId="60ABD587" w14:textId="77777777" w:rsidR="006E7A7E" w:rsidRDefault="006E7A7E" w:rsidP="006E7A7E">
      <w:pPr>
        <w:spacing w:after="0" w:line="240" w:lineRule="auto"/>
        <w:rPr>
          <w:rFonts w:ascii="Arial" w:hAnsi="Arial" w:cs="Arial"/>
          <w:b/>
          <w:bCs/>
          <w:sz w:val="24"/>
          <w:szCs w:val="24"/>
        </w:rPr>
      </w:pPr>
    </w:p>
    <w:p w14:paraId="712B855A" w14:textId="77777777" w:rsidR="006E7A7E" w:rsidRDefault="006E7A7E" w:rsidP="006E7A7E">
      <w:pPr>
        <w:spacing w:after="0" w:line="240" w:lineRule="auto"/>
        <w:rPr>
          <w:rFonts w:ascii="Arial" w:hAnsi="Arial" w:cs="Arial"/>
          <w:b/>
          <w:bCs/>
          <w:sz w:val="24"/>
          <w:szCs w:val="24"/>
        </w:rPr>
      </w:pPr>
    </w:p>
    <w:p w14:paraId="38FF3F04" w14:textId="77777777" w:rsidR="006E7A7E" w:rsidRDefault="006E7A7E" w:rsidP="006E7A7E">
      <w:pPr>
        <w:spacing w:after="0" w:line="240" w:lineRule="auto"/>
        <w:rPr>
          <w:rFonts w:ascii="Arial" w:hAnsi="Arial" w:cs="Arial"/>
          <w:b/>
          <w:bCs/>
          <w:sz w:val="24"/>
          <w:szCs w:val="24"/>
        </w:rPr>
      </w:pPr>
    </w:p>
    <w:p w14:paraId="4388E492" w14:textId="77777777" w:rsidR="006E7A7E" w:rsidRDefault="006E7A7E" w:rsidP="006E7A7E">
      <w:pPr>
        <w:spacing w:after="0" w:line="240" w:lineRule="auto"/>
        <w:rPr>
          <w:rFonts w:ascii="Arial" w:hAnsi="Arial" w:cs="Arial"/>
          <w:b/>
          <w:bCs/>
          <w:sz w:val="24"/>
          <w:szCs w:val="24"/>
        </w:rPr>
      </w:pPr>
    </w:p>
    <w:p w14:paraId="0A457FFF" w14:textId="77777777" w:rsidR="006E7A7E" w:rsidRDefault="006E7A7E" w:rsidP="006E7A7E">
      <w:pPr>
        <w:spacing w:after="0" w:line="240" w:lineRule="auto"/>
        <w:rPr>
          <w:rFonts w:ascii="Arial" w:hAnsi="Arial" w:cs="Arial"/>
          <w:b/>
          <w:bCs/>
          <w:sz w:val="24"/>
          <w:szCs w:val="24"/>
        </w:rPr>
      </w:pPr>
    </w:p>
    <w:p w14:paraId="2E68C323" w14:textId="77777777" w:rsidR="006E7A7E" w:rsidRDefault="006E7A7E" w:rsidP="006E7A7E">
      <w:pPr>
        <w:spacing w:after="0" w:line="240" w:lineRule="auto"/>
        <w:rPr>
          <w:rFonts w:ascii="Arial" w:hAnsi="Arial" w:cs="Arial"/>
          <w:b/>
          <w:bCs/>
          <w:sz w:val="24"/>
          <w:szCs w:val="24"/>
        </w:rPr>
      </w:pPr>
    </w:p>
    <w:p w14:paraId="68B3E5D5" w14:textId="77777777" w:rsidR="006E7A7E" w:rsidRDefault="006E7A7E" w:rsidP="006E7A7E">
      <w:pPr>
        <w:spacing w:after="0" w:line="240" w:lineRule="auto"/>
        <w:rPr>
          <w:rFonts w:ascii="Arial" w:hAnsi="Arial" w:cs="Arial"/>
          <w:b/>
          <w:bCs/>
          <w:sz w:val="24"/>
          <w:szCs w:val="24"/>
        </w:rPr>
      </w:pPr>
    </w:p>
    <w:p w14:paraId="0150C3BA" w14:textId="77777777" w:rsidR="006E7A7E" w:rsidRDefault="006E7A7E" w:rsidP="006E7A7E">
      <w:pPr>
        <w:spacing w:after="0" w:line="240" w:lineRule="auto"/>
        <w:rPr>
          <w:rFonts w:ascii="Arial" w:hAnsi="Arial" w:cs="Arial"/>
          <w:b/>
          <w:bCs/>
          <w:sz w:val="24"/>
          <w:szCs w:val="24"/>
        </w:rPr>
      </w:pPr>
    </w:p>
    <w:p w14:paraId="42F90DFF" w14:textId="2CD97E05" w:rsidR="006E7A7E" w:rsidRPr="008D7710" w:rsidRDefault="006E7A7E" w:rsidP="006E7A7E">
      <w:pPr>
        <w:spacing w:after="0" w:line="240" w:lineRule="auto"/>
        <w:rPr>
          <w:rFonts w:ascii="Arial" w:hAnsi="Arial" w:cs="Arial"/>
          <w:b/>
          <w:bCs/>
          <w:sz w:val="24"/>
          <w:szCs w:val="24"/>
        </w:rPr>
      </w:pPr>
      <w:r w:rsidRPr="008D7710">
        <w:rPr>
          <w:rFonts w:ascii="Arial" w:hAnsi="Arial" w:cs="Arial"/>
          <w:b/>
          <w:bCs/>
          <w:sz w:val="24"/>
          <w:szCs w:val="24"/>
        </w:rPr>
        <w:lastRenderedPageBreak/>
        <w:t>Comité Arbitral</w:t>
      </w:r>
    </w:p>
    <w:p w14:paraId="679AC0C8" w14:textId="77777777" w:rsidR="006E7A7E" w:rsidRPr="008D7710" w:rsidRDefault="006E7A7E" w:rsidP="006E7A7E">
      <w:pPr>
        <w:spacing w:after="0" w:line="240" w:lineRule="auto"/>
        <w:rPr>
          <w:rFonts w:ascii="Arial" w:hAnsi="Arial" w:cs="Arial"/>
          <w:sz w:val="24"/>
          <w:szCs w:val="24"/>
        </w:rPr>
      </w:pPr>
    </w:p>
    <w:p w14:paraId="36E2ADFF" w14:textId="77777777" w:rsidR="006E7A7E" w:rsidRPr="008D7710" w:rsidRDefault="006E7A7E" w:rsidP="006E7A7E">
      <w:pPr>
        <w:spacing w:after="0" w:line="240" w:lineRule="auto"/>
        <w:rPr>
          <w:rFonts w:ascii="Arial" w:hAnsi="Arial" w:cs="Arial"/>
          <w:sz w:val="24"/>
          <w:szCs w:val="24"/>
        </w:rPr>
      </w:pPr>
      <w:r w:rsidRPr="008D7710">
        <w:rPr>
          <w:rFonts w:ascii="Arial" w:hAnsi="Arial" w:cs="Arial"/>
          <w:sz w:val="24"/>
          <w:szCs w:val="24"/>
        </w:rPr>
        <w:t>Dra. Juana María Méndez Pineda</w:t>
      </w:r>
    </w:p>
    <w:p w14:paraId="3139D459" w14:textId="77777777" w:rsidR="006E7A7E" w:rsidRPr="008D7710" w:rsidRDefault="006E7A7E" w:rsidP="006E7A7E">
      <w:pPr>
        <w:spacing w:after="0" w:line="240" w:lineRule="auto"/>
        <w:rPr>
          <w:rFonts w:ascii="Arial" w:hAnsi="Arial" w:cs="Arial"/>
          <w:sz w:val="24"/>
          <w:szCs w:val="24"/>
        </w:rPr>
      </w:pPr>
      <w:r w:rsidRPr="008D7710">
        <w:rPr>
          <w:rFonts w:ascii="Arial" w:hAnsi="Arial" w:cs="Arial"/>
          <w:sz w:val="24"/>
          <w:szCs w:val="24"/>
        </w:rPr>
        <w:t>Universidad Autónoma de San Luis Potosí</w:t>
      </w:r>
    </w:p>
    <w:p w14:paraId="12942377" w14:textId="77777777" w:rsidR="006E7A7E" w:rsidRPr="008D7710" w:rsidRDefault="006E7A7E" w:rsidP="006E7A7E">
      <w:pPr>
        <w:spacing w:after="0" w:line="240" w:lineRule="auto"/>
        <w:rPr>
          <w:rFonts w:ascii="Arial" w:hAnsi="Arial" w:cs="Arial"/>
          <w:sz w:val="24"/>
          <w:szCs w:val="24"/>
        </w:rPr>
      </w:pPr>
    </w:p>
    <w:p w14:paraId="58214A7F" w14:textId="77777777" w:rsidR="006E7A7E" w:rsidRPr="008D7710" w:rsidRDefault="006E7A7E" w:rsidP="006E7A7E">
      <w:pPr>
        <w:spacing w:after="0" w:line="240" w:lineRule="auto"/>
        <w:rPr>
          <w:rFonts w:ascii="Arial" w:hAnsi="Arial" w:cs="Arial"/>
          <w:sz w:val="24"/>
          <w:szCs w:val="24"/>
        </w:rPr>
      </w:pPr>
      <w:r w:rsidRPr="008D7710">
        <w:rPr>
          <w:rFonts w:ascii="Arial" w:hAnsi="Arial" w:cs="Arial"/>
          <w:sz w:val="24"/>
          <w:szCs w:val="24"/>
        </w:rPr>
        <w:t>Dra. Dora Yolanda Ramos Estrada</w:t>
      </w:r>
    </w:p>
    <w:p w14:paraId="1033C1CE" w14:textId="77777777" w:rsidR="006E7A7E" w:rsidRPr="008D7710" w:rsidRDefault="006E7A7E" w:rsidP="006E7A7E">
      <w:pPr>
        <w:spacing w:after="0" w:line="240" w:lineRule="auto"/>
        <w:rPr>
          <w:rFonts w:ascii="Arial" w:hAnsi="Arial" w:cs="Arial"/>
          <w:sz w:val="24"/>
          <w:szCs w:val="24"/>
        </w:rPr>
      </w:pPr>
      <w:r w:rsidRPr="008D7710">
        <w:rPr>
          <w:rFonts w:ascii="Arial" w:hAnsi="Arial" w:cs="Arial"/>
          <w:sz w:val="24"/>
          <w:szCs w:val="24"/>
        </w:rPr>
        <w:t>Instituto Tecnológico de Sonora</w:t>
      </w:r>
    </w:p>
    <w:p w14:paraId="2C9EC33E" w14:textId="77777777" w:rsidR="006E7A7E" w:rsidRPr="008D7710" w:rsidRDefault="006E7A7E" w:rsidP="006E7A7E">
      <w:pPr>
        <w:spacing w:after="0" w:line="240" w:lineRule="auto"/>
        <w:rPr>
          <w:rFonts w:ascii="Arial" w:hAnsi="Arial" w:cs="Arial"/>
          <w:sz w:val="24"/>
          <w:szCs w:val="24"/>
        </w:rPr>
      </w:pPr>
      <w:r w:rsidRPr="008D7710">
        <w:rPr>
          <w:rFonts w:ascii="Arial" w:hAnsi="Arial" w:cs="Arial"/>
          <w:sz w:val="24"/>
          <w:szCs w:val="24"/>
        </w:rPr>
        <w:t>SNI – CONAHCYT Nivel I</w:t>
      </w:r>
    </w:p>
    <w:p w14:paraId="61B4FF55" w14:textId="77777777" w:rsidR="006E7A7E" w:rsidRPr="008D7710" w:rsidRDefault="006E7A7E" w:rsidP="006E7A7E">
      <w:pPr>
        <w:spacing w:after="0" w:line="240" w:lineRule="auto"/>
        <w:rPr>
          <w:rFonts w:ascii="Arial" w:hAnsi="Arial" w:cs="Arial"/>
          <w:sz w:val="24"/>
          <w:szCs w:val="24"/>
        </w:rPr>
      </w:pPr>
    </w:p>
    <w:p w14:paraId="77B4499A" w14:textId="77777777" w:rsidR="006E7A7E" w:rsidRPr="008D7710" w:rsidRDefault="006E7A7E" w:rsidP="006E7A7E">
      <w:pPr>
        <w:spacing w:after="0" w:line="240" w:lineRule="auto"/>
        <w:rPr>
          <w:rFonts w:ascii="Arial" w:hAnsi="Arial" w:cs="Arial"/>
          <w:sz w:val="24"/>
          <w:szCs w:val="24"/>
        </w:rPr>
      </w:pPr>
      <w:r w:rsidRPr="008D7710">
        <w:rPr>
          <w:rFonts w:ascii="Arial" w:hAnsi="Arial" w:cs="Arial"/>
          <w:sz w:val="24"/>
          <w:szCs w:val="24"/>
        </w:rPr>
        <w:t>Dra. Samara Talía Zárraga Pérez</w:t>
      </w:r>
    </w:p>
    <w:p w14:paraId="5A787E19" w14:textId="77777777" w:rsidR="006E7A7E" w:rsidRPr="008D7710" w:rsidRDefault="006E7A7E" w:rsidP="006E7A7E">
      <w:pPr>
        <w:spacing w:after="0" w:line="240" w:lineRule="auto"/>
        <w:rPr>
          <w:rFonts w:ascii="Arial" w:hAnsi="Arial" w:cs="Arial"/>
          <w:sz w:val="24"/>
          <w:szCs w:val="24"/>
        </w:rPr>
      </w:pPr>
      <w:r w:rsidRPr="008D7710">
        <w:rPr>
          <w:rFonts w:ascii="Arial" w:hAnsi="Arial" w:cs="Arial"/>
          <w:sz w:val="24"/>
          <w:szCs w:val="24"/>
        </w:rPr>
        <w:t>Universidad Autónoma de Guadalajara</w:t>
      </w:r>
    </w:p>
    <w:p w14:paraId="5B8A6750" w14:textId="77777777" w:rsidR="006E7A7E" w:rsidRPr="008D7710" w:rsidRDefault="006E7A7E" w:rsidP="006E7A7E">
      <w:pPr>
        <w:spacing w:after="0" w:line="240" w:lineRule="auto"/>
        <w:rPr>
          <w:rFonts w:ascii="Arial" w:hAnsi="Arial" w:cs="Arial"/>
          <w:sz w:val="24"/>
          <w:szCs w:val="24"/>
        </w:rPr>
      </w:pPr>
      <w:r w:rsidRPr="008D7710">
        <w:rPr>
          <w:rFonts w:ascii="Arial" w:hAnsi="Arial" w:cs="Arial"/>
          <w:sz w:val="24"/>
          <w:szCs w:val="24"/>
        </w:rPr>
        <w:t xml:space="preserve"> </w:t>
      </w:r>
    </w:p>
    <w:p w14:paraId="67AA46EB" w14:textId="77777777" w:rsidR="006E7A7E" w:rsidRPr="008D7710" w:rsidRDefault="006E7A7E" w:rsidP="006E7A7E">
      <w:pPr>
        <w:spacing w:after="0" w:line="240" w:lineRule="auto"/>
        <w:rPr>
          <w:rFonts w:ascii="Arial" w:hAnsi="Arial" w:cs="Arial"/>
          <w:sz w:val="24"/>
          <w:szCs w:val="24"/>
        </w:rPr>
      </w:pPr>
      <w:r w:rsidRPr="008D7710">
        <w:rPr>
          <w:rFonts w:ascii="Arial" w:hAnsi="Arial" w:cs="Arial"/>
          <w:sz w:val="24"/>
          <w:szCs w:val="24"/>
        </w:rPr>
        <w:t>Dra. Julissa Cosme Castorena</w:t>
      </w:r>
    </w:p>
    <w:p w14:paraId="0A6FA3EE" w14:textId="77777777" w:rsidR="006E7A7E" w:rsidRPr="008D7710" w:rsidRDefault="006E7A7E" w:rsidP="006E7A7E">
      <w:pPr>
        <w:spacing w:after="0" w:line="240" w:lineRule="auto"/>
        <w:rPr>
          <w:rFonts w:ascii="Arial" w:hAnsi="Arial" w:cs="Arial"/>
          <w:sz w:val="24"/>
          <w:szCs w:val="24"/>
        </w:rPr>
      </w:pPr>
      <w:r w:rsidRPr="008D7710">
        <w:rPr>
          <w:rFonts w:ascii="Arial" w:hAnsi="Arial" w:cs="Arial"/>
          <w:sz w:val="24"/>
          <w:szCs w:val="24"/>
        </w:rPr>
        <w:t>Instituto Tecnológico de Pabellón de Arteaga</w:t>
      </w:r>
    </w:p>
    <w:p w14:paraId="77F08CEB" w14:textId="77777777" w:rsidR="006E7A7E" w:rsidRPr="008D7710" w:rsidRDefault="006E7A7E" w:rsidP="006E7A7E">
      <w:pPr>
        <w:spacing w:after="0" w:line="240" w:lineRule="auto"/>
        <w:rPr>
          <w:rFonts w:ascii="Arial" w:hAnsi="Arial" w:cs="Arial"/>
          <w:sz w:val="24"/>
          <w:szCs w:val="24"/>
        </w:rPr>
      </w:pPr>
      <w:r w:rsidRPr="008D7710">
        <w:rPr>
          <w:rFonts w:ascii="Arial" w:hAnsi="Arial" w:cs="Arial"/>
          <w:sz w:val="24"/>
          <w:szCs w:val="24"/>
        </w:rPr>
        <w:t>SNI – CONAHCYT Nivel I</w:t>
      </w:r>
    </w:p>
    <w:p w14:paraId="625AFAB2" w14:textId="77777777" w:rsidR="006E7A7E" w:rsidRPr="008D7710" w:rsidRDefault="006E7A7E" w:rsidP="006E7A7E">
      <w:pPr>
        <w:spacing w:after="0" w:line="240" w:lineRule="auto"/>
        <w:rPr>
          <w:rFonts w:ascii="Arial" w:hAnsi="Arial" w:cs="Arial"/>
          <w:sz w:val="24"/>
          <w:szCs w:val="24"/>
        </w:rPr>
      </w:pPr>
      <w:r w:rsidRPr="008D7710">
        <w:rPr>
          <w:rFonts w:ascii="Arial" w:hAnsi="Arial" w:cs="Arial"/>
          <w:sz w:val="24"/>
          <w:szCs w:val="24"/>
        </w:rPr>
        <w:t xml:space="preserve"> </w:t>
      </w:r>
    </w:p>
    <w:p w14:paraId="57506B16" w14:textId="77777777" w:rsidR="006E7A7E" w:rsidRPr="008D7710" w:rsidRDefault="006E7A7E" w:rsidP="006E7A7E">
      <w:pPr>
        <w:spacing w:after="0" w:line="240" w:lineRule="auto"/>
        <w:rPr>
          <w:rFonts w:ascii="Arial" w:hAnsi="Arial" w:cs="Arial"/>
          <w:sz w:val="24"/>
          <w:szCs w:val="24"/>
        </w:rPr>
      </w:pPr>
      <w:r w:rsidRPr="008D7710">
        <w:rPr>
          <w:rFonts w:ascii="Arial" w:hAnsi="Arial" w:cs="Arial"/>
          <w:sz w:val="24"/>
          <w:szCs w:val="24"/>
        </w:rPr>
        <w:t>Dr. Oscar Antonio Angulo Favela</w:t>
      </w:r>
    </w:p>
    <w:p w14:paraId="4328FE76" w14:textId="77777777" w:rsidR="006E7A7E" w:rsidRPr="008D7710" w:rsidRDefault="006E7A7E" w:rsidP="006E7A7E">
      <w:pPr>
        <w:spacing w:after="0" w:line="240" w:lineRule="auto"/>
        <w:rPr>
          <w:rFonts w:ascii="Arial" w:hAnsi="Arial" w:cs="Arial"/>
          <w:sz w:val="24"/>
          <w:szCs w:val="24"/>
        </w:rPr>
      </w:pPr>
      <w:r w:rsidRPr="008D7710">
        <w:rPr>
          <w:rFonts w:ascii="Arial" w:hAnsi="Arial" w:cs="Arial"/>
          <w:sz w:val="24"/>
          <w:szCs w:val="24"/>
        </w:rPr>
        <w:t>Dirección de Posgrados de Filosofía</w:t>
      </w:r>
    </w:p>
    <w:p w14:paraId="16B6DC0C" w14:textId="77777777" w:rsidR="006E7A7E" w:rsidRPr="008D7710" w:rsidRDefault="006E7A7E" w:rsidP="006E7A7E">
      <w:pPr>
        <w:spacing w:after="0" w:line="240" w:lineRule="auto"/>
        <w:rPr>
          <w:rFonts w:ascii="Arial" w:hAnsi="Arial" w:cs="Arial"/>
          <w:sz w:val="24"/>
          <w:szCs w:val="24"/>
        </w:rPr>
      </w:pPr>
      <w:r w:rsidRPr="008D7710">
        <w:rPr>
          <w:rFonts w:ascii="Arial" w:hAnsi="Arial" w:cs="Arial"/>
          <w:sz w:val="24"/>
          <w:szCs w:val="24"/>
        </w:rPr>
        <w:t>Universidad Autónoma Guadalajara</w:t>
      </w:r>
    </w:p>
    <w:p w14:paraId="00247069" w14:textId="77777777" w:rsidR="006E7A7E" w:rsidRPr="008D7710" w:rsidRDefault="006E7A7E" w:rsidP="006E7A7E">
      <w:pPr>
        <w:spacing w:after="0" w:line="240" w:lineRule="auto"/>
        <w:rPr>
          <w:rFonts w:ascii="Arial" w:hAnsi="Arial" w:cs="Arial"/>
          <w:sz w:val="24"/>
          <w:szCs w:val="24"/>
        </w:rPr>
      </w:pPr>
      <w:r w:rsidRPr="008D7710">
        <w:rPr>
          <w:rFonts w:ascii="Arial" w:hAnsi="Arial" w:cs="Arial"/>
          <w:sz w:val="24"/>
          <w:szCs w:val="24"/>
        </w:rPr>
        <w:t xml:space="preserve"> </w:t>
      </w:r>
    </w:p>
    <w:p w14:paraId="10F91A87" w14:textId="77777777" w:rsidR="006E7A7E" w:rsidRPr="008D7710" w:rsidRDefault="006E7A7E" w:rsidP="006E7A7E">
      <w:pPr>
        <w:spacing w:after="0" w:line="240" w:lineRule="auto"/>
        <w:rPr>
          <w:rFonts w:ascii="Arial" w:hAnsi="Arial" w:cs="Arial"/>
          <w:sz w:val="24"/>
          <w:szCs w:val="24"/>
        </w:rPr>
      </w:pPr>
      <w:r w:rsidRPr="008D7710">
        <w:rPr>
          <w:rFonts w:ascii="Arial" w:hAnsi="Arial" w:cs="Arial"/>
          <w:sz w:val="24"/>
          <w:szCs w:val="24"/>
        </w:rPr>
        <w:t>Dr. Iván Leonardo Pérez Cabrera</w:t>
      </w:r>
    </w:p>
    <w:p w14:paraId="3F7B713B" w14:textId="77777777" w:rsidR="006E7A7E" w:rsidRPr="008D7710" w:rsidRDefault="006E7A7E" w:rsidP="006E7A7E">
      <w:pPr>
        <w:spacing w:after="0" w:line="240" w:lineRule="auto"/>
        <w:rPr>
          <w:rFonts w:ascii="Arial" w:hAnsi="Arial" w:cs="Arial"/>
          <w:sz w:val="24"/>
          <w:szCs w:val="24"/>
        </w:rPr>
      </w:pPr>
      <w:r w:rsidRPr="008D7710">
        <w:rPr>
          <w:rFonts w:ascii="Arial" w:hAnsi="Arial" w:cs="Arial"/>
          <w:sz w:val="24"/>
          <w:szCs w:val="24"/>
        </w:rPr>
        <w:t>Universidad Nacional Autónoma de México</w:t>
      </w:r>
    </w:p>
    <w:p w14:paraId="7DB3B183" w14:textId="77777777" w:rsidR="006E7A7E" w:rsidRPr="008D7710" w:rsidRDefault="006E7A7E" w:rsidP="006E7A7E">
      <w:pPr>
        <w:spacing w:after="0" w:line="240" w:lineRule="auto"/>
        <w:rPr>
          <w:rFonts w:ascii="Arial" w:hAnsi="Arial" w:cs="Arial"/>
          <w:sz w:val="24"/>
          <w:szCs w:val="24"/>
        </w:rPr>
      </w:pPr>
      <w:r w:rsidRPr="008D7710">
        <w:rPr>
          <w:rFonts w:ascii="Arial" w:hAnsi="Arial" w:cs="Arial"/>
          <w:sz w:val="24"/>
          <w:szCs w:val="24"/>
        </w:rPr>
        <w:t xml:space="preserve"> </w:t>
      </w:r>
    </w:p>
    <w:p w14:paraId="71ADF323" w14:textId="77777777" w:rsidR="006E7A7E" w:rsidRPr="008D7710" w:rsidRDefault="006E7A7E" w:rsidP="006E7A7E">
      <w:pPr>
        <w:spacing w:after="0" w:line="240" w:lineRule="auto"/>
        <w:rPr>
          <w:rFonts w:ascii="Arial" w:hAnsi="Arial" w:cs="Arial"/>
          <w:sz w:val="24"/>
          <w:szCs w:val="24"/>
        </w:rPr>
      </w:pPr>
      <w:r w:rsidRPr="008D7710">
        <w:rPr>
          <w:rFonts w:ascii="Arial" w:hAnsi="Arial" w:cs="Arial"/>
          <w:sz w:val="24"/>
          <w:szCs w:val="24"/>
        </w:rPr>
        <w:t>Dra. Suhey Ayala Jiménez</w:t>
      </w:r>
    </w:p>
    <w:p w14:paraId="39556BFE" w14:textId="77777777" w:rsidR="006E7A7E" w:rsidRPr="008D7710" w:rsidRDefault="006E7A7E" w:rsidP="006E7A7E">
      <w:pPr>
        <w:spacing w:after="0" w:line="240" w:lineRule="auto"/>
        <w:rPr>
          <w:rFonts w:ascii="Arial" w:hAnsi="Arial" w:cs="Arial"/>
          <w:sz w:val="24"/>
          <w:szCs w:val="24"/>
        </w:rPr>
      </w:pPr>
      <w:r w:rsidRPr="008D7710">
        <w:rPr>
          <w:rFonts w:ascii="Arial" w:hAnsi="Arial" w:cs="Arial"/>
          <w:sz w:val="24"/>
          <w:szCs w:val="24"/>
        </w:rPr>
        <w:t>Universidad de Guadalajara</w:t>
      </w:r>
    </w:p>
    <w:p w14:paraId="1D1CC6DE" w14:textId="77777777" w:rsidR="006E7A7E" w:rsidRPr="008D7710" w:rsidRDefault="006E7A7E" w:rsidP="006E7A7E">
      <w:pPr>
        <w:spacing w:after="0" w:line="240" w:lineRule="auto"/>
        <w:rPr>
          <w:rFonts w:ascii="Arial" w:hAnsi="Arial" w:cs="Arial"/>
          <w:sz w:val="24"/>
          <w:szCs w:val="24"/>
        </w:rPr>
      </w:pPr>
      <w:r w:rsidRPr="008D7710">
        <w:rPr>
          <w:rFonts w:ascii="Arial" w:hAnsi="Arial" w:cs="Arial"/>
          <w:sz w:val="24"/>
          <w:szCs w:val="24"/>
        </w:rPr>
        <w:t>SNI – CONAHCYT Nivel I</w:t>
      </w:r>
    </w:p>
    <w:p w14:paraId="7405F315" w14:textId="77777777" w:rsidR="006E7A7E" w:rsidRPr="008D7710" w:rsidRDefault="006E7A7E" w:rsidP="006E7A7E">
      <w:pPr>
        <w:spacing w:after="0" w:line="240" w:lineRule="auto"/>
        <w:rPr>
          <w:rFonts w:ascii="Arial" w:hAnsi="Arial" w:cs="Arial"/>
          <w:sz w:val="24"/>
          <w:szCs w:val="24"/>
        </w:rPr>
      </w:pPr>
      <w:r w:rsidRPr="008D7710">
        <w:rPr>
          <w:rFonts w:ascii="Arial" w:hAnsi="Arial" w:cs="Arial"/>
          <w:sz w:val="24"/>
          <w:szCs w:val="24"/>
        </w:rPr>
        <w:t xml:space="preserve"> </w:t>
      </w:r>
    </w:p>
    <w:p w14:paraId="234B74ED" w14:textId="77777777" w:rsidR="006E7A7E" w:rsidRPr="008D7710" w:rsidRDefault="006E7A7E" w:rsidP="006E7A7E">
      <w:pPr>
        <w:spacing w:after="0" w:line="240" w:lineRule="auto"/>
        <w:rPr>
          <w:rFonts w:ascii="Arial" w:hAnsi="Arial" w:cs="Arial"/>
          <w:sz w:val="24"/>
          <w:szCs w:val="24"/>
        </w:rPr>
      </w:pPr>
      <w:r w:rsidRPr="008D7710">
        <w:rPr>
          <w:rFonts w:ascii="Arial" w:hAnsi="Arial" w:cs="Arial"/>
          <w:sz w:val="24"/>
          <w:szCs w:val="24"/>
        </w:rPr>
        <w:t>Dr. Miguel Lizcano Sánchez</w:t>
      </w:r>
    </w:p>
    <w:p w14:paraId="20D16B29" w14:textId="77777777" w:rsidR="006E7A7E" w:rsidRPr="008D7710" w:rsidRDefault="006E7A7E" w:rsidP="006E7A7E">
      <w:pPr>
        <w:spacing w:after="0" w:line="240" w:lineRule="auto"/>
        <w:rPr>
          <w:rFonts w:ascii="Arial" w:hAnsi="Arial" w:cs="Arial"/>
          <w:sz w:val="24"/>
          <w:szCs w:val="24"/>
        </w:rPr>
      </w:pPr>
      <w:r w:rsidRPr="008D7710">
        <w:rPr>
          <w:rFonts w:ascii="Arial" w:hAnsi="Arial" w:cs="Arial"/>
          <w:sz w:val="24"/>
          <w:szCs w:val="24"/>
        </w:rPr>
        <w:t xml:space="preserve">Centro Universitario de la Costa – UDG </w:t>
      </w:r>
    </w:p>
    <w:p w14:paraId="1D08CD2D" w14:textId="77777777" w:rsidR="006E7A7E" w:rsidRPr="008D7710" w:rsidRDefault="006E7A7E" w:rsidP="006E7A7E">
      <w:pPr>
        <w:spacing w:after="0" w:line="240" w:lineRule="auto"/>
        <w:rPr>
          <w:rFonts w:ascii="Arial" w:hAnsi="Arial" w:cs="Arial"/>
          <w:sz w:val="24"/>
          <w:szCs w:val="24"/>
        </w:rPr>
      </w:pPr>
      <w:r w:rsidRPr="008D7710">
        <w:rPr>
          <w:rFonts w:ascii="Arial" w:hAnsi="Arial" w:cs="Arial"/>
          <w:sz w:val="24"/>
          <w:szCs w:val="24"/>
        </w:rPr>
        <w:t>SNI – CONAHCYT Nivel Candidato</w:t>
      </w:r>
    </w:p>
    <w:p w14:paraId="75B4038C" w14:textId="77777777" w:rsidR="006E7A7E" w:rsidRPr="008D7710" w:rsidRDefault="006E7A7E" w:rsidP="006E7A7E">
      <w:pPr>
        <w:spacing w:after="0" w:line="240" w:lineRule="auto"/>
        <w:rPr>
          <w:rFonts w:ascii="Arial" w:hAnsi="Arial" w:cs="Arial"/>
          <w:sz w:val="24"/>
          <w:szCs w:val="24"/>
        </w:rPr>
      </w:pPr>
      <w:r w:rsidRPr="008D7710">
        <w:rPr>
          <w:rFonts w:ascii="Arial" w:hAnsi="Arial" w:cs="Arial"/>
          <w:sz w:val="24"/>
          <w:szCs w:val="24"/>
        </w:rPr>
        <w:t xml:space="preserve"> </w:t>
      </w:r>
    </w:p>
    <w:p w14:paraId="15F907A6" w14:textId="77777777" w:rsidR="006E7A7E" w:rsidRPr="008D7710" w:rsidRDefault="006E7A7E" w:rsidP="006E7A7E">
      <w:pPr>
        <w:spacing w:after="0" w:line="240" w:lineRule="auto"/>
        <w:rPr>
          <w:rFonts w:ascii="Arial" w:hAnsi="Arial" w:cs="Arial"/>
          <w:sz w:val="24"/>
          <w:szCs w:val="24"/>
        </w:rPr>
      </w:pPr>
      <w:r w:rsidRPr="008D7710">
        <w:rPr>
          <w:rFonts w:ascii="Arial" w:hAnsi="Arial" w:cs="Arial"/>
          <w:sz w:val="24"/>
          <w:szCs w:val="24"/>
        </w:rPr>
        <w:t>Dra. Elvira Zorrero Lara</w:t>
      </w:r>
    </w:p>
    <w:p w14:paraId="0DA73377" w14:textId="77777777" w:rsidR="006E7A7E" w:rsidRPr="008D7710" w:rsidRDefault="006E7A7E" w:rsidP="006E7A7E">
      <w:pPr>
        <w:spacing w:after="0" w:line="240" w:lineRule="auto"/>
        <w:rPr>
          <w:rFonts w:ascii="Arial" w:hAnsi="Arial" w:cs="Arial"/>
          <w:sz w:val="24"/>
          <w:szCs w:val="24"/>
        </w:rPr>
      </w:pPr>
      <w:r w:rsidRPr="008D7710">
        <w:rPr>
          <w:rFonts w:ascii="Arial" w:hAnsi="Arial" w:cs="Arial"/>
          <w:sz w:val="24"/>
          <w:szCs w:val="24"/>
        </w:rPr>
        <w:t>Universidad Autónoma de Guadalajara</w:t>
      </w:r>
    </w:p>
    <w:p w14:paraId="626E0CA2" w14:textId="77777777" w:rsidR="006E7A7E" w:rsidRPr="008D7710" w:rsidRDefault="006E7A7E" w:rsidP="006E7A7E">
      <w:pPr>
        <w:spacing w:after="0" w:line="240" w:lineRule="auto"/>
        <w:rPr>
          <w:rFonts w:ascii="Arial" w:hAnsi="Arial" w:cs="Arial"/>
          <w:sz w:val="24"/>
          <w:szCs w:val="24"/>
        </w:rPr>
      </w:pPr>
      <w:r w:rsidRPr="008D7710">
        <w:rPr>
          <w:rFonts w:ascii="Arial" w:hAnsi="Arial" w:cs="Arial"/>
          <w:sz w:val="24"/>
          <w:szCs w:val="24"/>
        </w:rPr>
        <w:t xml:space="preserve"> </w:t>
      </w:r>
    </w:p>
    <w:p w14:paraId="32E789BB" w14:textId="77777777" w:rsidR="006E7A7E" w:rsidRPr="008D7710" w:rsidRDefault="006E7A7E" w:rsidP="006E7A7E">
      <w:pPr>
        <w:spacing w:after="0" w:line="240" w:lineRule="auto"/>
        <w:rPr>
          <w:rFonts w:ascii="Arial" w:hAnsi="Arial" w:cs="Arial"/>
          <w:sz w:val="24"/>
          <w:szCs w:val="24"/>
        </w:rPr>
      </w:pPr>
      <w:r w:rsidRPr="008D7710">
        <w:rPr>
          <w:rFonts w:ascii="Arial" w:hAnsi="Arial" w:cs="Arial"/>
          <w:sz w:val="24"/>
          <w:szCs w:val="24"/>
        </w:rPr>
        <w:t>Dra. Zaira Ruth Zuviría López</w:t>
      </w:r>
    </w:p>
    <w:p w14:paraId="779B8D78" w14:textId="77777777" w:rsidR="006E7A7E" w:rsidRPr="008D7710" w:rsidRDefault="006E7A7E" w:rsidP="006E7A7E">
      <w:pPr>
        <w:spacing w:after="0" w:line="240" w:lineRule="auto"/>
        <w:rPr>
          <w:rFonts w:ascii="Arial" w:hAnsi="Arial" w:cs="Arial"/>
          <w:sz w:val="24"/>
          <w:szCs w:val="24"/>
        </w:rPr>
      </w:pPr>
      <w:r w:rsidRPr="008D7710">
        <w:rPr>
          <w:rFonts w:ascii="Arial" w:hAnsi="Arial" w:cs="Arial"/>
          <w:sz w:val="24"/>
          <w:szCs w:val="24"/>
        </w:rPr>
        <w:t>Universidad Autónoma de Guadalajara</w:t>
      </w:r>
    </w:p>
    <w:p w14:paraId="258F19D3" w14:textId="77777777" w:rsidR="006E7A7E" w:rsidRPr="008D7710" w:rsidRDefault="006E7A7E" w:rsidP="006E7A7E">
      <w:pPr>
        <w:spacing w:after="0" w:line="240" w:lineRule="auto"/>
        <w:rPr>
          <w:rFonts w:ascii="Arial" w:hAnsi="Arial" w:cs="Arial"/>
          <w:sz w:val="24"/>
          <w:szCs w:val="24"/>
        </w:rPr>
      </w:pPr>
      <w:r w:rsidRPr="008D7710">
        <w:rPr>
          <w:rFonts w:ascii="Arial" w:hAnsi="Arial" w:cs="Arial"/>
          <w:sz w:val="24"/>
          <w:szCs w:val="24"/>
        </w:rPr>
        <w:t xml:space="preserve"> </w:t>
      </w:r>
    </w:p>
    <w:p w14:paraId="7DDE7669" w14:textId="77777777" w:rsidR="006E7A7E" w:rsidRPr="008D7710" w:rsidRDefault="006E7A7E" w:rsidP="006E7A7E">
      <w:pPr>
        <w:spacing w:after="0" w:line="240" w:lineRule="auto"/>
        <w:rPr>
          <w:rFonts w:ascii="Arial" w:hAnsi="Arial" w:cs="Arial"/>
          <w:sz w:val="24"/>
          <w:szCs w:val="24"/>
        </w:rPr>
      </w:pPr>
      <w:r w:rsidRPr="008D7710">
        <w:rPr>
          <w:rFonts w:ascii="Arial" w:hAnsi="Arial" w:cs="Arial"/>
          <w:sz w:val="24"/>
          <w:szCs w:val="24"/>
        </w:rPr>
        <w:t>Dra. Luz Orieta Rodríguez</w:t>
      </w:r>
    </w:p>
    <w:p w14:paraId="5A719447" w14:textId="77777777" w:rsidR="006E7A7E" w:rsidRPr="008D7710" w:rsidRDefault="006E7A7E" w:rsidP="006E7A7E">
      <w:pPr>
        <w:spacing w:after="0" w:line="240" w:lineRule="auto"/>
        <w:rPr>
          <w:rFonts w:ascii="Arial" w:hAnsi="Arial" w:cs="Arial"/>
          <w:sz w:val="24"/>
          <w:szCs w:val="24"/>
        </w:rPr>
      </w:pPr>
      <w:r w:rsidRPr="008D7710">
        <w:rPr>
          <w:rFonts w:ascii="Arial" w:hAnsi="Arial" w:cs="Arial"/>
          <w:sz w:val="24"/>
          <w:szCs w:val="24"/>
        </w:rPr>
        <w:t>Centro Universitario de Ciencias Económico Administrativas</w:t>
      </w:r>
    </w:p>
    <w:p w14:paraId="525244A1" w14:textId="77777777" w:rsidR="006E7A7E" w:rsidRPr="008D7710" w:rsidRDefault="006E7A7E" w:rsidP="006E7A7E">
      <w:pPr>
        <w:spacing w:after="0" w:line="240" w:lineRule="auto"/>
        <w:rPr>
          <w:rFonts w:ascii="Arial" w:hAnsi="Arial" w:cs="Arial"/>
          <w:sz w:val="24"/>
          <w:szCs w:val="24"/>
        </w:rPr>
      </w:pPr>
      <w:r w:rsidRPr="008D7710">
        <w:rPr>
          <w:rFonts w:ascii="Arial" w:hAnsi="Arial" w:cs="Arial"/>
          <w:sz w:val="24"/>
          <w:szCs w:val="24"/>
        </w:rPr>
        <w:t>Universidad de Guadalajara</w:t>
      </w:r>
    </w:p>
    <w:p w14:paraId="391FB05A" w14:textId="77777777" w:rsidR="006E7A7E" w:rsidRPr="008D7710" w:rsidRDefault="006E7A7E" w:rsidP="006E7A7E">
      <w:pPr>
        <w:spacing w:after="0" w:line="240" w:lineRule="auto"/>
        <w:rPr>
          <w:rFonts w:ascii="Arial" w:hAnsi="Arial" w:cs="Arial"/>
          <w:sz w:val="24"/>
          <w:szCs w:val="24"/>
        </w:rPr>
      </w:pPr>
      <w:r w:rsidRPr="008D7710">
        <w:rPr>
          <w:rFonts w:ascii="Arial" w:hAnsi="Arial" w:cs="Arial"/>
          <w:sz w:val="24"/>
          <w:szCs w:val="24"/>
        </w:rPr>
        <w:t>SNI – CONAHCYT Nivel I</w:t>
      </w:r>
    </w:p>
    <w:p w14:paraId="0FBD3AB3" w14:textId="77777777" w:rsidR="006E7A7E" w:rsidRPr="008D7710" w:rsidRDefault="006E7A7E" w:rsidP="006E7A7E">
      <w:pPr>
        <w:spacing w:after="0" w:line="240" w:lineRule="auto"/>
        <w:rPr>
          <w:rFonts w:ascii="Arial" w:hAnsi="Arial" w:cs="Arial"/>
          <w:sz w:val="24"/>
          <w:szCs w:val="24"/>
        </w:rPr>
      </w:pPr>
      <w:r w:rsidRPr="008D7710">
        <w:rPr>
          <w:rFonts w:ascii="Arial" w:hAnsi="Arial" w:cs="Arial"/>
          <w:sz w:val="24"/>
          <w:szCs w:val="24"/>
        </w:rPr>
        <w:t xml:space="preserve"> </w:t>
      </w:r>
    </w:p>
    <w:p w14:paraId="69819BDF" w14:textId="77777777" w:rsidR="006E7A7E" w:rsidRPr="008D7710" w:rsidRDefault="006E7A7E" w:rsidP="006E7A7E">
      <w:pPr>
        <w:spacing w:after="0" w:line="240" w:lineRule="auto"/>
        <w:rPr>
          <w:rFonts w:ascii="Arial" w:hAnsi="Arial" w:cs="Arial"/>
          <w:sz w:val="24"/>
          <w:szCs w:val="24"/>
        </w:rPr>
      </w:pPr>
      <w:r w:rsidRPr="008D7710">
        <w:rPr>
          <w:rFonts w:ascii="Arial" w:hAnsi="Arial" w:cs="Arial"/>
          <w:sz w:val="24"/>
          <w:szCs w:val="24"/>
        </w:rPr>
        <w:t>Dr. Manuel Machuca Martínez</w:t>
      </w:r>
    </w:p>
    <w:p w14:paraId="2C45B8B8" w14:textId="77777777" w:rsidR="006E7A7E" w:rsidRPr="008D7710" w:rsidRDefault="006E7A7E" w:rsidP="006E7A7E">
      <w:pPr>
        <w:spacing w:after="0" w:line="240" w:lineRule="auto"/>
        <w:rPr>
          <w:rFonts w:ascii="Arial" w:hAnsi="Arial" w:cs="Arial"/>
          <w:sz w:val="24"/>
          <w:szCs w:val="24"/>
        </w:rPr>
      </w:pPr>
      <w:r w:rsidRPr="008D7710">
        <w:rPr>
          <w:rFonts w:ascii="Arial" w:hAnsi="Arial" w:cs="Arial"/>
          <w:sz w:val="24"/>
          <w:szCs w:val="24"/>
        </w:rPr>
        <w:t>Centro Universitario de Ciencias Económico Administrativas</w:t>
      </w:r>
    </w:p>
    <w:p w14:paraId="09CC243E" w14:textId="77777777" w:rsidR="006E7A7E" w:rsidRPr="008D7710" w:rsidRDefault="006E7A7E" w:rsidP="006E7A7E">
      <w:pPr>
        <w:spacing w:after="0" w:line="240" w:lineRule="auto"/>
        <w:rPr>
          <w:rFonts w:ascii="Arial" w:hAnsi="Arial" w:cs="Arial"/>
          <w:sz w:val="24"/>
          <w:szCs w:val="24"/>
        </w:rPr>
      </w:pPr>
      <w:r w:rsidRPr="008D7710">
        <w:rPr>
          <w:rFonts w:ascii="Arial" w:hAnsi="Arial" w:cs="Arial"/>
          <w:sz w:val="24"/>
          <w:szCs w:val="24"/>
        </w:rPr>
        <w:t>Universidad de Guadalajara</w:t>
      </w:r>
    </w:p>
    <w:p w14:paraId="7797173E" w14:textId="77777777" w:rsidR="006E7A7E" w:rsidRPr="008D7710" w:rsidRDefault="006E7A7E" w:rsidP="006E7A7E">
      <w:pPr>
        <w:spacing w:after="0" w:line="240" w:lineRule="auto"/>
        <w:rPr>
          <w:rFonts w:ascii="Arial" w:hAnsi="Arial" w:cs="Arial"/>
          <w:sz w:val="24"/>
          <w:szCs w:val="24"/>
        </w:rPr>
      </w:pPr>
      <w:r w:rsidRPr="008D7710">
        <w:rPr>
          <w:rFonts w:ascii="Arial" w:hAnsi="Arial" w:cs="Arial"/>
          <w:sz w:val="24"/>
          <w:szCs w:val="24"/>
        </w:rPr>
        <w:t>SNI – CONAHCYT Nivel I</w:t>
      </w:r>
    </w:p>
    <w:p w14:paraId="7A63929E" w14:textId="77777777" w:rsidR="006E7A7E" w:rsidRPr="008D7710" w:rsidRDefault="006E7A7E" w:rsidP="006E7A7E">
      <w:pPr>
        <w:spacing w:after="0" w:line="240" w:lineRule="auto"/>
        <w:rPr>
          <w:rFonts w:ascii="Arial" w:hAnsi="Arial" w:cs="Arial"/>
          <w:sz w:val="24"/>
          <w:szCs w:val="24"/>
        </w:rPr>
      </w:pPr>
      <w:r w:rsidRPr="008D7710">
        <w:rPr>
          <w:rFonts w:ascii="Arial" w:hAnsi="Arial" w:cs="Arial"/>
          <w:sz w:val="24"/>
          <w:szCs w:val="24"/>
        </w:rPr>
        <w:t xml:space="preserve"> </w:t>
      </w:r>
    </w:p>
    <w:p w14:paraId="58FCA338" w14:textId="77777777" w:rsidR="006E7A7E" w:rsidRPr="008D7710" w:rsidRDefault="006E7A7E" w:rsidP="006E7A7E">
      <w:pPr>
        <w:spacing w:after="0" w:line="240" w:lineRule="auto"/>
        <w:rPr>
          <w:rFonts w:ascii="Arial" w:hAnsi="Arial" w:cs="Arial"/>
          <w:sz w:val="24"/>
          <w:szCs w:val="24"/>
        </w:rPr>
      </w:pPr>
      <w:r w:rsidRPr="008D7710">
        <w:rPr>
          <w:rFonts w:ascii="Arial" w:hAnsi="Arial" w:cs="Arial"/>
          <w:sz w:val="24"/>
          <w:szCs w:val="24"/>
        </w:rPr>
        <w:lastRenderedPageBreak/>
        <w:t>Dr. Oscar Alejandro Espinoza Mercado</w:t>
      </w:r>
    </w:p>
    <w:p w14:paraId="6F0E83DE" w14:textId="77777777" w:rsidR="006E7A7E" w:rsidRPr="008D7710" w:rsidRDefault="006E7A7E" w:rsidP="006E7A7E">
      <w:pPr>
        <w:spacing w:after="0" w:line="240" w:lineRule="auto"/>
        <w:rPr>
          <w:rFonts w:ascii="Arial" w:hAnsi="Arial" w:cs="Arial"/>
          <w:sz w:val="24"/>
          <w:szCs w:val="24"/>
        </w:rPr>
      </w:pPr>
      <w:r w:rsidRPr="008D7710">
        <w:rPr>
          <w:rFonts w:ascii="Arial" w:hAnsi="Arial" w:cs="Arial"/>
          <w:sz w:val="24"/>
          <w:szCs w:val="24"/>
        </w:rPr>
        <w:t>Universidad de Guadalajara</w:t>
      </w:r>
    </w:p>
    <w:p w14:paraId="1AE5C467" w14:textId="77777777" w:rsidR="006E7A7E" w:rsidRPr="008D7710" w:rsidRDefault="006E7A7E" w:rsidP="006E7A7E">
      <w:pPr>
        <w:spacing w:after="0" w:line="240" w:lineRule="auto"/>
        <w:rPr>
          <w:rFonts w:ascii="Arial" w:hAnsi="Arial" w:cs="Arial"/>
          <w:sz w:val="24"/>
          <w:szCs w:val="24"/>
        </w:rPr>
      </w:pPr>
      <w:r w:rsidRPr="008D7710">
        <w:rPr>
          <w:rFonts w:ascii="Arial" w:hAnsi="Arial" w:cs="Arial"/>
          <w:sz w:val="24"/>
          <w:szCs w:val="24"/>
        </w:rPr>
        <w:t>SNI – CONAHCYT Nivel Candidato</w:t>
      </w:r>
    </w:p>
    <w:p w14:paraId="7BAC547E" w14:textId="77777777" w:rsidR="006E7A7E" w:rsidRDefault="006E7A7E" w:rsidP="006E7A7E">
      <w:pPr>
        <w:spacing w:after="0" w:line="240" w:lineRule="auto"/>
        <w:rPr>
          <w:rFonts w:ascii="Arial" w:hAnsi="Arial" w:cs="Arial"/>
          <w:sz w:val="24"/>
          <w:szCs w:val="24"/>
        </w:rPr>
      </w:pPr>
    </w:p>
    <w:p w14:paraId="1D326501" w14:textId="77777777" w:rsidR="006E7A7E" w:rsidRPr="008D7710" w:rsidRDefault="006E7A7E" w:rsidP="006E7A7E">
      <w:pPr>
        <w:spacing w:after="0" w:line="240" w:lineRule="auto"/>
        <w:rPr>
          <w:rFonts w:ascii="Arial" w:hAnsi="Arial" w:cs="Arial"/>
          <w:sz w:val="24"/>
          <w:szCs w:val="24"/>
        </w:rPr>
      </w:pPr>
      <w:r w:rsidRPr="008D7710">
        <w:rPr>
          <w:rFonts w:ascii="Arial" w:hAnsi="Arial" w:cs="Arial"/>
          <w:sz w:val="24"/>
          <w:szCs w:val="24"/>
        </w:rPr>
        <w:t>Dr. Ernesto Ávalos López</w:t>
      </w:r>
    </w:p>
    <w:p w14:paraId="31599B53" w14:textId="77777777" w:rsidR="006E7A7E" w:rsidRPr="008D7710" w:rsidRDefault="006E7A7E" w:rsidP="006E7A7E">
      <w:pPr>
        <w:spacing w:after="0" w:line="240" w:lineRule="auto"/>
        <w:rPr>
          <w:rFonts w:ascii="Arial" w:hAnsi="Arial" w:cs="Arial"/>
          <w:sz w:val="24"/>
          <w:szCs w:val="24"/>
        </w:rPr>
      </w:pPr>
      <w:r w:rsidRPr="008D7710">
        <w:rPr>
          <w:rFonts w:ascii="Arial" w:hAnsi="Arial" w:cs="Arial"/>
          <w:sz w:val="24"/>
          <w:szCs w:val="24"/>
        </w:rPr>
        <w:t xml:space="preserve">Centro de Estudios Humanísticos </w:t>
      </w:r>
    </w:p>
    <w:p w14:paraId="55A88F53" w14:textId="77777777" w:rsidR="006E7A7E" w:rsidRPr="008D7710" w:rsidRDefault="006E7A7E" w:rsidP="006E7A7E">
      <w:pPr>
        <w:spacing w:after="0" w:line="240" w:lineRule="auto"/>
        <w:rPr>
          <w:rFonts w:ascii="Arial" w:hAnsi="Arial" w:cs="Arial"/>
          <w:sz w:val="24"/>
          <w:szCs w:val="24"/>
        </w:rPr>
      </w:pPr>
      <w:r w:rsidRPr="008D7710">
        <w:rPr>
          <w:rFonts w:ascii="Arial" w:hAnsi="Arial" w:cs="Arial"/>
          <w:sz w:val="24"/>
          <w:szCs w:val="24"/>
        </w:rPr>
        <w:t>Universidad Autónoma de Guadalajara</w:t>
      </w:r>
    </w:p>
    <w:p w14:paraId="3E8F4AA1" w14:textId="77777777" w:rsidR="006E7A7E" w:rsidRPr="008D7710" w:rsidRDefault="006E7A7E" w:rsidP="006E7A7E">
      <w:pPr>
        <w:spacing w:after="0" w:line="240" w:lineRule="auto"/>
        <w:rPr>
          <w:rFonts w:ascii="Arial" w:hAnsi="Arial" w:cs="Arial"/>
          <w:sz w:val="24"/>
          <w:szCs w:val="24"/>
        </w:rPr>
      </w:pPr>
    </w:p>
    <w:p w14:paraId="1A2ED669" w14:textId="77777777" w:rsidR="006E7A7E" w:rsidRPr="008D7710" w:rsidRDefault="006E7A7E" w:rsidP="006E7A7E">
      <w:pPr>
        <w:spacing w:after="0" w:line="240" w:lineRule="auto"/>
        <w:rPr>
          <w:rFonts w:ascii="Arial" w:hAnsi="Arial" w:cs="Arial"/>
          <w:sz w:val="24"/>
          <w:szCs w:val="24"/>
        </w:rPr>
      </w:pPr>
      <w:r w:rsidRPr="008D7710">
        <w:rPr>
          <w:rFonts w:ascii="Arial" w:hAnsi="Arial" w:cs="Arial"/>
          <w:sz w:val="24"/>
          <w:szCs w:val="24"/>
        </w:rPr>
        <w:t xml:space="preserve"> </w:t>
      </w:r>
    </w:p>
    <w:p w14:paraId="11E43E68" w14:textId="77777777" w:rsidR="006E7A7E" w:rsidRDefault="006E7A7E" w:rsidP="006E7A7E">
      <w:pPr>
        <w:spacing w:after="0" w:line="240" w:lineRule="auto"/>
        <w:rPr>
          <w:rFonts w:ascii="Arial" w:hAnsi="Arial" w:cs="Arial"/>
          <w:sz w:val="24"/>
          <w:szCs w:val="24"/>
        </w:rPr>
      </w:pPr>
    </w:p>
    <w:p w14:paraId="7C3AE176" w14:textId="77777777" w:rsidR="006E7A7E" w:rsidRDefault="006E7A7E" w:rsidP="006E7A7E">
      <w:pPr>
        <w:spacing w:after="0" w:line="240" w:lineRule="auto"/>
        <w:rPr>
          <w:rFonts w:ascii="Arial" w:hAnsi="Arial" w:cs="Arial"/>
          <w:sz w:val="24"/>
          <w:szCs w:val="24"/>
        </w:rPr>
      </w:pPr>
    </w:p>
    <w:p w14:paraId="79E86938" w14:textId="77777777" w:rsidR="006E7A7E" w:rsidRDefault="006E7A7E" w:rsidP="006E7A7E">
      <w:pPr>
        <w:spacing w:after="0" w:line="240" w:lineRule="auto"/>
        <w:rPr>
          <w:rFonts w:ascii="Arial" w:hAnsi="Arial" w:cs="Arial"/>
          <w:sz w:val="24"/>
          <w:szCs w:val="24"/>
        </w:rPr>
      </w:pPr>
    </w:p>
    <w:p w14:paraId="64198533" w14:textId="77777777" w:rsidR="006E7A7E" w:rsidRDefault="006E7A7E" w:rsidP="006E7A7E">
      <w:pPr>
        <w:spacing w:after="0" w:line="240" w:lineRule="auto"/>
        <w:rPr>
          <w:rFonts w:ascii="Arial" w:hAnsi="Arial" w:cs="Arial"/>
          <w:sz w:val="24"/>
          <w:szCs w:val="24"/>
        </w:rPr>
      </w:pPr>
    </w:p>
    <w:p w14:paraId="4217D91B" w14:textId="77777777" w:rsidR="006E7A7E" w:rsidRDefault="006E7A7E" w:rsidP="006E7A7E">
      <w:pPr>
        <w:spacing w:after="0" w:line="240" w:lineRule="auto"/>
        <w:rPr>
          <w:rFonts w:ascii="Arial" w:hAnsi="Arial" w:cs="Arial"/>
          <w:sz w:val="24"/>
          <w:szCs w:val="24"/>
        </w:rPr>
      </w:pPr>
    </w:p>
    <w:p w14:paraId="27F0CA02" w14:textId="77777777" w:rsidR="006E7A7E" w:rsidRDefault="006E7A7E" w:rsidP="006E7A7E">
      <w:pPr>
        <w:spacing w:after="0" w:line="240" w:lineRule="auto"/>
        <w:rPr>
          <w:rFonts w:ascii="Arial" w:hAnsi="Arial" w:cs="Arial"/>
          <w:sz w:val="24"/>
          <w:szCs w:val="24"/>
        </w:rPr>
      </w:pPr>
    </w:p>
    <w:p w14:paraId="5B828977" w14:textId="77777777" w:rsidR="006E7A7E" w:rsidRDefault="006E7A7E" w:rsidP="006E7A7E">
      <w:pPr>
        <w:spacing w:after="0" w:line="240" w:lineRule="auto"/>
        <w:rPr>
          <w:rFonts w:ascii="Arial" w:hAnsi="Arial" w:cs="Arial"/>
          <w:sz w:val="24"/>
          <w:szCs w:val="24"/>
        </w:rPr>
      </w:pPr>
    </w:p>
    <w:p w14:paraId="39E072CC" w14:textId="77777777" w:rsidR="006E7A7E" w:rsidRDefault="006E7A7E" w:rsidP="006E7A7E">
      <w:pPr>
        <w:spacing w:after="0" w:line="240" w:lineRule="auto"/>
        <w:rPr>
          <w:rFonts w:ascii="Arial" w:hAnsi="Arial" w:cs="Arial"/>
          <w:sz w:val="24"/>
          <w:szCs w:val="24"/>
        </w:rPr>
      </w:pPr>
    </w:p>
    <w:p w14:paraId="72A0CA68" w14:textId="77777777" w:rsidR="006E7A7E" w:rsidRDefault="006E7A7E" w:rsidP="006E7A7E">
      <w:pPr>
        <w:spacing w:after="0" w:line="240" w:lineRule="auto"/>
        <w:rPr>
          <w:rFonts w:ascii="Arial" w:hAnsi="Arial" w:cs="Arial"/>
          <w:sz w:val="24"/>
          <w:szCs w:val="24"/>
        </w:rPr>
      </w:pPr>
    </w:p>
    <w:p w14:paraId="1D81F0DE" w14:textId="77777777" w:rsidR="006E7A7E" w:rsidRDefault="006E7A7E" w:rsidP="006E7A7E">
      <w:pPr>
        <w:spacing w:after="0" w:line="240" w:lineRule="auto"/>
        <w:rPr>
          <w:rFonts w:ascii="Arial" w:hAnsi="Arial" w:cs="Arial"/>
          <w:sz w:val="24"/>
          <w:szCs w:val="24"/>
        </w:rPr>
      </w:pPr>
    </w:p>
    <w:p w14:paraId="1D023C82" w14:textId="77777777" w:rsidR="006E7A7E" w:rsidRDefault="006E7A7E" w:rsidP="006E7A7E">
      <w:pPr>
        <w:spacing w:after="0" w:line="240" w:lineRule="auto"/>
        <w:rPr>
          <w:rFonts w:ascii="Arial" w:hAnsi="Arial" w:cs="Arial"/>
          <w:sz w:val="24"/>
          <w:szCs w:val="24"/>
        </w:rPr>
      </w:pPr>
    </w:p>
    <w:p w14:paraId="79D8021E" w14:textId="77777777" w:rsidR="006E7A7E" w:rsidRDefault="006E7A7E" w:rsidP="006E7A7E">
      <w:pPr>
        <w:spacing w:after="0" w:line="240" w:lineRule="auto"/>
        <w:rPr>
          <w:rFonts w:ascii="Arial" w:hAnsi="Arial" w:cs="Arial"/>
          <w:sz w:val="24"/>
          <w:szCs w:val="24"/>
        </w:rPr>
      </w:pPr>
    </w:p>
    <w:p w14:paraId="6ED63042" w14:textId="77777777" w:rsidR="006E7A7E" w:rsidRDefault="006E7A7E" w:rsidP="006E7A7E">
      <w:pPr>
        <w:spacing w:after="0" w:line="240" w:lineRule="auto"/>
        <w:rPr>
          <w:rFonts w:ascii="Arial" w:hAnsi="Arial" w:cs="Arial"/>
          <w:sz w:val="24"/>
          <w:szCs w:val="24"/>
        </w:rPr>
      </w:pPr>
    </w:p>
    <w:p w14:paraId="2A063B74" w14:textId="77777777" w:rsidR="006E7A7E" w:rsidRDefault="006E7A7E" w:rsidP="006E7A7E">
      <w:pPr>
        <w:spacing w:after="0" w:line="240" w:lineRule="auto"/>
        <w:rPr>
          <w:rFonts w:ascii="Arial" w:hAnsi="Arial" w:cs="Arial"/>
          <w:sz w:val="24"/>
          <w:szCs w:val="24"/>
        </w:rPr>
      </w:pPr>
    </w:p>
    <w:p w14:paraId="4C23A523" w14:textId="77777777" w:rsidR="006E7A7E" w:rsidRDefault="006E7A7E" w:rsidP="006E7A7E">
      <w:pPr>
        <w:spacing w:after="0" w:line="240" w:lineRule="auto"/>
        <w:rPr>
          <w:rFonts w:ascii="Arial" w:hAnsi="Arial" w:cs="Arial"/>
          <w:sz w:val="24"/>
          <w:szCs w:val="24"/>
        </w:rPr>
      </w:pPr>
    </w:p>
    <w:p w14:paraId="0E82FAF2" w14:textId="77777777" w:rsidR="006E7A7E" w:rsidRDefault="006E7A7E" w:rsidP="006E7A7E">
      <w:pPr>
        <w:spacing w:after="0" w:line="240" w:lineRule="auto"/>
        <w:rPr>
          <w:rFonts w:ascii="Arial" w:hAnsi="Arial" w:cs="Arial"/>
          <w:sz w:val="24"/>
          <w:szCs w:val="24"/>
        </w:rPr>
      </w:pPr>
    </w:p>
    <w:p w14:paraId="51E1D77A" w14:textId="77777777" w:rsidR="006E7A7E" w:rsidRDefault="006E7A7E" w:rsidP="006E7A7E">
      <w:pPr>
        <w:spacing w:after="0" w:line="240" w:lineRule="auto"/>
        <w:rPr>
          <w:rFonts w:ascii="Arial" w:hAnsi="Arial" w:cs="Arial"/>
          <w:sz w:val="24"/>
          <w:szCs w:val="24"/>
        </w:rPr>
      </w:pPr>
    </w:p>
    <w:p w14:paraId="60143AAF" w14:textId="77777777" w:rsidR="006E7A7E" w:rsidRDefault="006E7A7E" w:rsidP="006E7A7E">
      <w:pPr>
        <w:spacing w:after="0" w:line="240" w:lineRule="auto"/>
        <w:rPr>
          <w:rFonts w:ascii="Arial" w:hAnsi="Arial" w:cs="Arial"/>
          <w:sz w:val="24"/>
          <w:szCs w:val="24"/>
        </w:rPr>
      </w:pPr>
    </w:p>
    <w:p w14:paraId="031C43D7" w14:textId="77777777" w:rsidR="006E7A7E" w:rsidRDefault="006E7A7E" w:rsidP="006E7A7E">
      <w:pPr>
        <w:spacing w:after="0" w:line="240" w:lineRule="auto"/>
        <w:rPr>
          <w:rFonts w:ascii="Arial" w:hAnsi="Arial" w:cs="Arial"/>
          <w:sz w:val="24"/>
          <w:szCs w:val="24"/>
        </w:rPr>
      </w:pPr>
    </w:p>
    <w:p w14:paraId="6E6330AC" w14:textId="77777777" w:rsidR="006E7A7E" w:rsidRDefault="006E7A7E" w:rsidP="006E7A7E">
      <w:pPr>
        <w:spacing w:after="0" w:line="240" w:lineRule="auto"/>
        <w:rPr>
          <w:rFonts w:ascii="Arial" w:hAnsi="Arial" w:cs="Arial"/>
          <w:sz w:val="24"/>
          <w:szCs w:val="24"/>
        </w:rPr>
      </w:pPr>
    </w:p>
    <w:p w14:paraId="6E4F1EB6" w14:textId="77777777" w:rsidR="006E7A7E" w:rsidRDefault="006E7A7E" w:rsidP="006E7A7E">
      <w:pPr>
        <w:spacing w:after="0" w:line="240" w:lineRule="auto"/>
        <w:rPr>
          <w:rFonts w:ascii="Arial" w:hAnsi="Arial" w:cs="Arial"/>
          <w:sz w:val="24"/>
          <w:szCs w:val="24"/>
        </w:rPr>
      </w:pPr>
    </w:p>
    <w:p w14:paraId="6C5A0FFF" w14:textId="77777777" w:rsidR="006E7A7E" w:rsidRDefault="006E7A7E" w:rsidP="006E7A7E">
      <w:pPr>
        <w:spacing w:after="0" w:line="240" w:lineRule="auto"/>
        <w:rPr>
          <w:rFonts w:ascii="Arial" w:hAnsi="Arial" w:cs="Arial"/>
          <w:sz w:val="24"/>
          <w:szCs w:val="24"/>
        </w:rPr>
      </w:pPr>
    </w:p>
    <w:p w14:paraId="5624886C" w14:textId="77777777" w:rsidR="006E7A7E" w:rsidRDefault="006E7A7E" w:rsidP="006E7A7E">
      <w:pPr>
        <w:spacing w:after="0" w:line="240" w:lineRule="auto"/>
        <w:rPr>
          <w:rFonts w:ascii="Arial" w:hAnsi="Arial" w:cs="Arial"/>
          <w:sz w:val="24"/>
          <w:szCs w:val="24"/>
        </w:rPr>
      </w:pPr>
    </w:p>
    <w:p w14:paraId="52926888" w14:textId="77777777" w:rsidR="006E7A7E" w:rsidRDefault="006E7A7E" w:rsidP="006E7A7E">
      <w:pPr>
        <w:spacing w:after="0" w:line="240" w:lineRule="auto"/>
        <w:rPr>
          <w:rFonts w:ascii="Arial" w:hAnsi="Arial" w:cs="Arial"/>
          <w:sz w:val="24"/>
          <w:szCs w:val="24"/>
        </w:rPr>
      </w:pPr>
    </w:p>
    <w:p w14:paraId="55C10651" w14:textId="77777777" w:rsidR="006E7A7E" w:rsidRDefault="006E7A7E" w:rsidP="006E7A7E">
      <w:pPr>
        <w:spacing w:after="0" w:line="240" w:lineRule="auto"/>
        <w:rPr>
          <w:rFonts w:ascii="Arial" w:hAnsi="Arial" w:cs="Arial"/>
          <w:sz w:val="24"/>
          <w:szCs w:val="24"/>
        </w:rPr>
      </w:pPr>
    </w:p>
    <w:p w14:paraId="691C3441" w14:textId="77777777" w:rsidR="006E7A7E" w:rsidRDefault="006E7A7E" w:rsidP="006E7A7E">
      <w:pPr>
        <w:spacing w:after="0" w:line="240" w:lineRule="auto"/>
        <w:rPr>
          <w:rFonts w:ascii="Arial" w:hAnsi="Arial" w:cs="Arial"/>
          <w:sz w:val="24"/>
          <w:szCs w:val="24"/>
        </w:rPr>
      </w:pPr>
    </w:p>
    <w:p w14:paraId="7A0D91DA" w14:textId="77777777" w:rsidR="006E7A7E" w:rsidRDefault="006E7A7E" w:rsidP="006E7A7E">
      <w:pPr>
        <w:spacing w:after="0" w:line="240" w:lineRule="auto"/>
        <w:rPr>
          <w:rFonts w:ascii="Arial" w:hAnsi="Arial" w:cs="Arial"/>
          <w:sz w:val="24"/>
          <w:szCs w:val="24"/>
        </w:rPr>
      </w:pPr>
    </w:p>
    <w:p w14:paraId="75A15C24" w14:textId="77777777" w:rsidR="006E7A7E" w:rsidRDefault="006E7A7E" w:rsidP="006E7A7E">
      <w:pPr>
        <w:spacing w:after="0" w:line="240" w:lineRule="auto"/>
        <w:rPr>
          <w:rFonts w:ascii="Arial" w:hAnsi="Arial" w:cs="Arial"/>
          <w:sz w:val="24"/>
          <w:szCs w:val="24"/>
        </w:rPr>
      </w:pPr>
    </w:p>
    <w:p w14:paraId="4A58CC56" w14:textId="77777777" w:rsidR="006E7A7E" w:rsidRDefault="006E7A7E" w:rsidP="006E7A7E">
      <w:pPr>
        <w:spacing w:after="0" w:line="240" w:lineRule="auto"/>
        <w:rPr>
          <w:rFonts w:ascii="Arial" w:hAnsi="Arial" w:cs="Arial"/>
          <w:sz w:val="24"/>
          <w:szCs w:val="24"/>
        </w:rPr>
      </w:pPr>
    </w:p>
    <w:p w14:paraId="4BA3D170" w14:textId="77777777" w:rsidR="006E7A7E" w:rsidRDefault="006E7A7E" w:rsidP="006E7A7E">
      <w:pPr>
        <w:spacing w:after="0" w:line="240" w:lineRule="auto"/>
        <w:rPr>
          <w:rFonts w:ascii="Arial" w:hAnsi="Arial" w:cs="Arial"/>
          <w:sz w:val="24"/>
          <w:szCs w:val="24"/>
        </w:rPr>
      </w:pPr>
    </w:p>
    <w:p w14:paraId="66A6997D" w14:textId="77777777" w:rsidR="006E7A7E" w:rsidRDefault="006E7A7E" w:rsidP="006E7A7E">
      <w:pPr>
        <w:spacing w:after="0" w:line="240" w:lineRule="auto"/>
        <w:rPr>
          <w:rFonts w:ascii="Arial" w:hAnsi="Arial" w:cs="Arial"/>
          <w:sz w:val="24"/>
          <w:szCs w:val="24"/>
        </w:rPr>
      </w:pPr>
    </w:p>
    <w:p w14:paraId="205B4E84" w14:textId="77777777" w:rsidR="006E7A7E" w:rsidRDefault="006E7A7E" w:rsidP="006E7A7E">
      <w:pPr>
        <w:spacing w:after="0" w:line="240" w:lineRule="auto"/>
        <w:rPr>
          <w:rFonts w:ascii="Arial" w:hAnsi="Arial" w:cs="Arial"/>
          <w:sz w:val="24"/>
          <w:szCs w:val="24"/>
        </w:rPr>
      </w:pPr>
    </w:p>
    <w:p w14:paraId="69DFEC53" w14:textId="77777777" w:rsidR="006E7A7E" w:rsidRDefault="006E7A7E" w:rsidP="006E7A7E">
      <w:pPr>
        <w:spacing w:after="0" w:line="240" w:lineRule="auto"/>
        <w:rPr>
          <w:rFonts w:ascii="Arial" w:hAnsi="Arial" w:cs="Arial"/>
          <w:sz w:val="24"/>
          <w:szCs w:val="24"/>
        </w:rPr>
      </w:pPr>
    </w:p>
    <w:p w14:paraId="4E7A2C34" w14:textId="77777777" w:rsidR="006E7A7E" w:rsidRDefault="006E7A7E" w:rsidP="006E7A7E">
      <w:pPr>
        <w:spacing w:after="0" w:line="240" w:lineRule="auto"/>
        <w:rPr>
          <w:rFonts w:ascii="Arial" w:hAnsi="Arial" w:cs="Arial"/>
          <w:sz w:val="24"/>
          <w:szCs w:val="24"/>
        </w:rPr>
      </w:pPr>
    </w:p>
    <w:p w14:paraId="3FFEB0FD" w14:textId="77777777" w:rsidR="006E7A7E" w:rsidRDefault="006E7A7E" w:rsidP="006E7A7E">
      <w:pPr>
        <w:spacing w:after="0" w:line="240" w:lineRule="auto"/>
        <w:rPr>
          <w:rFonts w:ascii="Arial" w:hAnsi="Arial" w:cs="Arial"/>
          <w:sz w:val="24"/>
          <w:szCs w:val="24"/>
        </w:rPr>
      </w:pPr>
    </w:p>
    <w:p w14:paraId="28D8BB8B" w14:textId="77777777" w:rsidR="006E7A7E" w:rsidRDefault="006E7A7E" w:rsidP="006E7A7E">
      <w:pPr>
        <w:spacing w:after="0" w:line="240" w:lineRule="auto"/>
        <w:rPr>
          <w:rFonts w:ascii="Arial" w:hAnsi="Arial" w:cs="Arial"/>
          <w:sz w:val="24"/>
          <w:szCs w:val="24"/>
        </w:rPr>
      </w:pPr>
    </w:p>
    <w:p w14:paraId="1D9F90F9" w14:textId="77777777" w:rsidR="006E7A7E" w:rsidRDefault="006E7A7E" w:rsidP="006E7A7E">
      <w:pPr>
        <w:spacing w:after="0" w:line="240" w:lineRule="auto"/>
        <w:rPr>
          <w:rFonts w:ascii="Arial" w:hAnsi="Arial" w:cs="Arial"/>
          <w:sz w:val="24"/>
          <w:szCs w:val="24"/>
        </w:rPr>
      </w:pPr>
    </w:p>
    <w:p w14:paraId="0D897342" w14:textId="77777777" w:rsidR="006E7A7E" w:rsidRDefault="006E7A7E" w:rsidP="006E7A7E">
      <w:pPr>
        <w:spacing w:after="0" w:line="240" w:lineRule="auto"/>
        <w:rPr>
          <w:rFonts w:ascii="Arial" w:hAnsi="Arial" w:cs="Arial"/>
          <w:sz w:val="24"/>
          <w:szCs w:val="24"/>
        </w:rPr>
      </w:pPr>
    </w:p>
    <w:p w14:paraId="6D17536F" w14:textId="77777777" w:rsidR="006E7A7E" w:rsidRPr="00CA1648" w:rsidRDefault="006E7A7E" w:rsidP="006E7A7E">
      <w:pPr>
        <w:spacing w:after="0" w:line="360" w:lineRule="auto"/>
        <w:rPr>
          <w:rFonts w:ascii="Arial" w:hAnsi="Arial" w:cs="Arial"/>
          <w:b/>
          <w:bCs/>
          <w:color w:val="000000" w:themeColor="text1"/>
        </w:rPr>
      </w:pPr>
      <w:r w:rsidRPr="00CA1648">
        <w:rPr>
          <w:rFonts w:ascii="Arial" w:hAnsi="Arial" w:cs="Arial"/>
          <w:b/>
          <w:bCs/>
          <w:color w:val="000000" w:themeColor="text1"/>
        </w:rPr>
        <w:lastRenderedPageBreak/>
        <w:t>Contenido</w:t>
      </w:r>
    </w:p>
    <w:p w14:paraId="32E8CCD3" w14:textId="77777777" w:rsidR="006E7A7E" w:rsidRPr="00324F0C" w:rsidRDefault="006E7A7E" w:rsidP="006E7A7E">
      <w:pPr>
        <w:spacing w:after="0" w:line="360" w:lineRule="auto"/>
        <w:rPr>
          <w:rFonts w:ascii="Arial" w:hAnsi="Arial" w:cs="Arial"/>
          <w:color w:val="000000" w:themeColor="text1"/>
          <w:sz w:val="24"/>
          <w:szCs w:val="24"/>
        </w:rPr>
      </w:pPr>
    </w:p>
    <w:p w14:paraId="28068C1A" w14:textId="77777777" w:rsidR="006E7A7E" w:rsidRDefault="006E7A7E" w:rsidP="006E7A7E">
      <w:pPr>
        <w:spacing w:after="0" w:line="360" w:lineRule="auto"/>
        <w:rPr>
          <w:rFonts w:ascii="Arial" w:hAnsi="Arial" w:cs="Arial"/>
          <w:color w:val="000000" w:themeColor="text1"/>
        </w:rPr>
      </w:pPr>
      <w:r w:rsidRPr="00324F0C">
        <w:rPr>
          <w:rFonts w:ascii="Arial" w:hAnsi="Arial" w:cs="Arial"/>
          <w:color w:val="000000" w:themeColor="text1"/>
        </w:rPr>
        <w:t>Justificación</w:t>
      </w:r>
    </w:p>
    <w:p w14:paraId="59F83B44" w14:textId="77777777" w:rsidR="006E7A7E" w:rsidRDefault="006E7A7E" w:rsidP="006E7A7E">
      <w:pPr>
        <w:spacing w:after="0" w:line="360" w:lineRule="auto"/>
        <w:rPr>
          <w:rFonts w:ascii="Arial" w:hAnsi="Arial" w:cs="Arial"/>
          <w:color w:val="000000" w:themeColor="text1"/>
        </w:rPr>
      </w:pPr>
    </w:p>
    <w:p w14:paraId="1FD3D60D" w14:textId="021425BB" w:rsidR="006E7A7E" w:rsidRDefault="006E7A7E" w:rsidP="006E7A7E">
      <w:pPr>
        <w:spacing w:after="0" w:line="360" w:lineRule="auto"/>
        <w:rPr>
          <w:rFonts w:ascii="Arial" w:hAnsi="Arial" w:cs="Arial"/>
          <w:color w:val="000000" w:themeColor="text1"/>
        </w:rPr>
      </w:pPr>
      <w:r w:rsidRPr="00324F0C">
        <w:rPr>
          <w:rFonts w:ascii="Arial" w:hAnsi="Arial" w:cs="Arial"/>
          <w:color w:val="000000" w:themeColor="text1"/>
        </w:rPr>
        <w:t xml:space="preserve">Capítulo I. Educación </w:t>
      </w:r>
      <w:r>
        <w:rPr>
          <w:rFonts w:ascii="Arial" w:hAnsi="Arial" w:cs="Arial"/>
          <w:color w:val="000000" w:themeColor="text1"/>
        </w:rPr>
        <w:t xml:space="preserve">globalizada: Apoyo socioafectivo en el aprendizaje como reforzamiento en el desempeño educativo. </w:t>
      </w:r>
    </w:p>
    <w:p w14:paraId="1CC77B5B" w14:textId="77777777" w:rsidR="006E7A7E" w:rsidRPr="00324F0C" w:rsidRDefault="006E7A7E" w:rsidP="006E7A7E">
      <w:pPr>
        <w:spacing w:after="0" w:line="360" w:lineRule="auto"/>
        <w:rPr>
          <w:rFonts w:ascii="Arial" w:eastAsia="Arial" w:hAnsi="Arial" w:cs="Arial"/>
          <w:color w:val="000000" w:themeColor="text1"/>
          <w:sz w:val="24"/>
          <w:szCs w:val="24"/>
        </w:rPr>
      </w:pPr>
      <w:r w:rsidRPr="00324F0C">
        <w:rPr>
          <w:rFonts w:ascii="Arial" w:eastAsia="Arial" w:hAnsi="Arial" w:cs="Arial"/>
          <w:color w:val="000000" w:themeColor="text1"/>
        </w:rPr>
        <w:t>Elvira Rodríguez Flores</w:t>
      </w:r>
    </w:p>
    <w:p w14:paraId="2BD4023D" w14:textId="77777777" w:rsidR="006E7A7E" w:rsidRPr="00324F0C" w:rsidRDefault="006E7A7E" w:rsidP="006E7A7E">
      <w:pPr>
        <w:spacing w:after="0" w:line="360" w:lineRule="auto"/>
        <w:rPr>
          <w:rFonts w:ascii="Arial" w:hAnsi="Arial" w:cs="Arial"/>
          <w:color w:val="000000" w:themeColor="text1"/>
          <w:sz w:val="24"/>
          <w:szCs w:val="24"/>
        </w:rPr>
      </w:pPr>
    </w:p>
    <w:p w14:paraId="7F66B021" w14:textId="77777777" w:rsidR="006E7A7E" w:rsidRPr="00324F0C" w:rsidRDefault="006E7A7E" w:rsidP="006E7A7E">
      <w:pPr>
        <w:spacing w:after="0" w:line="360" w:lineRule="auto"/>
        <w:rPr>
          <w:rFonts w:ascii="Arial" w:eastAsia="Arial" w:hAnsi="Arial" w:cs="Arial"/>
          <w:color w:val="000000" w:themeColor="text1"/>
          <w:kern w:val="0"/>
          <w:sz w:val="24"/>
          <w:szCs w:val="24"/>
          <w:lang w:val="es-ES"/>
          <w14:ligatures w14:val="none"/>
        </w:rPr>
      </w:pPr>
      <w:r w:rsidRPr="00324F0C">
        <w:rPr>
          <w:rFonts w:ascii="Arial" w:hAnsi="Arial" w:cs="Arial"/>
          <w:color w:val="000000" w:themeColor="text1"/>
        </w:rPr>
        <w:t>Capítulo I</w:t>
      </w:r>
      <w:r>
        <w:rPr>
          <w:rFonts w:ascii="Arial" w:hAnsi="Arial" w:cs="Arial"/>
          <w:color w:val="000000" w:themeColor="text1"/>
        </w:rPr>
        <w:t>I</w:t>
      </w:r>
      <w:r w:rsidRPr="00324F0C">
        <w:rPr>
          <w:rFonts w:ascii="Arial" w:hAnsi="Arial" w:cs="Arial"/>
          <w:color w:val="000000" w:themeColor="text1"/>
        </w:rPr>
        <w:t xml:space="preserve">. </w:t>
      </w:r>
      <w:r w:rsidRPr="00324F0C">
        <w:rPr>
          <w:rFonts w:ascii="Arial" w:eastAsia="Arial" w:hAnsi="Arial" w:cs="Arial"/>
          <w:color w:val="000000" w:themeColor="text1"/>
          <w:kern w:val="0"/>
          <w:lang w:val="es-ES"/>
          <w14:ligatures w14:val="none"/>
        </w:rPr>
        <w:t xml:space="preserve">Movilidad </w:t>
      </w:r>
      <w:r>
        <w:rPr>
          <w:rFonts w:ascii="Arial" w:eastAsia="Arial" w:hAnsi="Arial" w:cs="Arial"/>
          <w:color w:val="000000" w:themeColor="text1"/>
          <w:kern w:val="0"/>
          <w:lang w:val="es-ES"/>
          <w14:ligatures w14:val="none"/>
        </w:rPr>
        <w:t>e</w:t>
      </w:r>
      <w:r w:rsidRPr="00324F0C">
        <w:rPr>
          <w:rFonts w:ascii="Arial" w:eastAsia="Arial" w:hAnsi="Arial" w:cs="Arial"/>
          <w:color w:val="000000" w:themeColor="text1"/>
          <w:kern w:val="0"/>
          <w:lang w:val="es-ES"/>
          <w14:ligatures w14:val="none"/>
        </w:rPr>
        <w:t xml:space="preserve"> </w:t>
      </w:r>
      <w:r>
        <w:rPr>
          <w:rFonts w:ascii="Arial" w:eastAsia="Arial" w:hAnsi="Arial" w:cs="Arial"/>
          <w:color w:val="000000" w:themeColor="text1"/>
          <w:kern w:val="0"/>
          <w:lang w:val="es-ES"/>
          <w14:ligatures w14:val="none"/>
        </w:rPr>
        <w:t>i</w:t>
      </w:r>
      <w:r w:rsidRPr="00324F0C">
        <w:rPr>
          <w:rFonts w:ascii="Arial" w:eastAsia="Arial" w:hAnsi="Arial" w:cs="Arial"/>
          <w:color w:val="000000" w:themeColor="text1"/>
          <w:kern w:val="0"/>
          <w:lang w:val="es-ES"/>
          <w14:ligatures w14:val="none"/>
        </w:rPr>
        <w:t xml:space="preserve">nternacionalización </w:t>
      </w:r>
      <w:r>
        <w:rPr>
          <w:rFonts w:ascii="Arial" w:eastAsia="Arial" w:hAnsi="Arial" w:cs="Arial"/>
          <w:color w:val="000000" w:themeColor="text1"/>
          <w:kern w:val="0"/>
          <w:lang w:val="es-ES"/>
          <w14:ligatures w14:val="none"/>
        </w:rPr>
        <w:t>d</w:t>
      </w:r>
      <w:r w:rsidRPr="00324F0C">
        <w:rPr>
          <w:rFonts w:ascii="Arial" w:eastAsia="Arial" w:hAnsi="Arial" w:cs="Arial"/>
          <w:color w:val="000000" w:themeColor="text1"/>
          <w:kern w:val="0"/>
          <w:lang w:val="es-ES"/>
          <w14:ligatures w14:val="none"/>
        </w:rPr>
        <w:t xml:space="preserve">e </w:t>
      </w:r>
      <w:r>
        <w:rPr>
          <w:rFonts w:ascii="Arial" w:eastAsia="Arial" w:hAnsi="Arial" w:cs="Arial"/>
          <w:color w:val="000000" w:themeColor="text1"/>
          <w:kern w:val="0"/>
          <w:lang w:val="es-ES"/>
          <w14:ligatures w14:val="none"/>
        </w:rPr>
        <w:t>p</w:t>
      </w:r>
      <w:r w:rsidRPr="00324F0C">
        <w:rPr>
          <w:rFonts w:ascii="Arial" w:eastAsia="Arial" w:hAnsi="Arial" w:cs="Arial"/>
          <w:color w:val="000000" w:themeColor="text1"/>
          <w:kern w:val="0"/>
          <w:lang w:val="es-ES"/>
          <w14:ligatures w14:val="none"/>
        </w:rPr>
        <w:t xml:space="preserve">rofesores </w:t>
      </w:r>
      <w:r>
        <w:rPr>
          <w:rFonts w:ascii="Arial" w:eastAsia="Arial" w:hAnsi="Arial" w:cs="Arial"/>
          <w:color w:val="000000" w:themeColor="text1"/>
          <w:kern w:val="0"/>
          <w:lang w:val="es-ES"/>
          <w14:ligatures w14:val="none"/>
        </w:rPr>
        <w:t>m</w:t>
      </w:r>
      <w:r w:rsidRPr="00324F0C">
        <w:rPr>
          <w:rFonts w:ascii="Arial" w:eastAsia="Arial" w:hAnsi="Arial" w:cs="Arial"/>
          <w:color w:val="000000" w:themeColor="text1"/>
          <w:kern w:val="0"/>
          <w:lang w:val="es-ES"/>
          <w14:ligatures w14:val="none"/>
        </w:rPr>
        <w:t xml:space="preserve">exicanos </w:t>
      </w:r>
      <w:r>
        <w:rPr>
          <w:rFonts w:ascii="Arial" w:eastAsia="Arial" w:hAnsi="Arial" w:cs="Arial"/>
          <w:color w:val="000000" w:themeColor="text1"/>
          <w:kern w:val="0"/>
          <w:lang w:val="es-ES"/>
          <w14:ligatures w14:val="none"/>
        </w:rPr>
        <w:t>c</w:t>
      </w:r>
      <w:r w:rsidRPr="00324F0C">
        <w:rPr>
          <w:rFonts w:ascii="Arial" w:eastAsia="Arial" w:hAnsi="Arial" w:cs="Arial"/>
          <w:color w:val="000000" w:themeColor="text1"/>
          <w:kern w:val="0"/>
          <w:lang w:val="es-ES"/>
          <w14:ligatures w14:val="none"/>
        </w:rPr>
        <w:t xml:space="preserve">omo </w:t>
      </w:r>
      <w:r>
        <w:rPr>
          <w:rFonts w:ascii="Arial" w:eastAsia="Arial" w:hAnsi="Arial" w:cs="Arial"/>
          <w:color w:val="000000" w:themeColor="text1"/>
          <w:kern w:val="0"/>
          <w:lang w:val="es-ES"/>
          <w14:ligatures w14:val="none"/>
        </w:rPr>
        <w:t>e</w:t>
      </w:r>
      <w:r w:rsidRPr="00324F0C">
        <w:rPr>
          <w:rFonts w:ascii="Arial" w:eastAsia="Arial" w:hAnsi="Arial" w:cs="Arial"/>
          <w:color w:val="000000" w:themeColor="text1"/>
          <w:kern w:val="0"/>
          <w:lang w:val="es-ES"/>
          <w14:ligatures w14:val="none"/>
        </w:rPr>
        <w:t xml:space="preserve">lemento </w:t>
      </w:r>
      <w:r>
        <w:rPr>
          <w:rFonts w:ascii="Arial" w:eastAsia="Arial" w:hAnsi="Arial" w:cs="Arial"/>
          <w:color w:val="000000" w:themeColor="text1"/>
          <w:kern w:val="0"/>
          <w:lang w:val="es-ES"/>
          <w14:ligatures w14:val="none"/>
        </w:rPr>
        <w:t>d</w:t>
      </w:r>
      <w:r w:rsidRPr="00324F0C">
        <w:rPr>
          <w:rFonts w:ascii="Arial" w:eastAsia="Arial" w:hAnsi="Arial" w:cs="Arial"/>
          <w:color w:val="000000" w:themeColor="text1"/>
          <w:kern w:val="0"/>
          <w:lang w:val="es-ES"/>
          <w14:ligatures w14:val="none"/>
        </w:rPr>
        <w:t xml:space="preserve">e </w:t>
      </w:r>
      <w:r>
        <w:rPr>
          <w:rFonts w:ascii="Arial" w:eastAsia="Arial" w:hAnsi="Arial" w:cs="Arial"/>
          <w:color w:val="000000" w:themeColor="text1"/>
          <w:kern w:val="0"/>
          <w:lang w:val="es-ES"/>
          <w14:ligatures w14:val="none"/>
        </w:rPr>
        <w:t>l</w:t>
      </w:r>
      <w:r w:rsidRPr="00324F0C">
        <w:rPr>
          <w:rFonts w:ascii="Arial" w:eastAsia="Arial" w:hAnsi="Arial" w:cs="Arial"/>
          <w:color w:val="000000" w:themeColor="text1"/>
          <w:kern w:val="0"/>
          <w:lang w:val="es-ES"/>
          <w14:ligatures w14:val="none"/>
        </w:rPr>
        <w:t xml:space="preserve">a </w:t>
      </w:r>
      <w:r>
        <w:rPr>
          <w:rFonts w:ascii="Arial" w:eastAsia="Arial" w:hAnsi="Arial" w:cs="Arial"/>
          <w:color w:val="000000" w:themeColor="text1"/>
          <w:kern w:val="0"/>
          <w:lang w:val="es-ES"/>
          <w14:ligatures w14:val="none"/>
        </w:rPr>
        <w:t>g</w:t>
      </w:r>
      <w:r w:rsidRPr="00324F0C">
        <w:rPr>
          <w:rFonts w:ascii="Arial" w:eastAsia="Arial" w:hAnsi="Arial" w:cs="Arial"/>
          <w:color w:val="000000" w:themeColor="text1"/>
          <w:kern w:val="0"/>
          <w:lang w:val="es-ES"/>
          <w14:ligatures w14:val="none"/>
        </w:rPr>
        <w:t xml:space="preserve">lobalización </w:t>
      </w:r>
      <w:r>
        <w:rPr>
          <w:rFonts w:ascii="Arial" w:eastAsia="Arial" w:hAnsi="Arial" w:cs="Arial"/>
          <w:color w:val="000000" w:themeColor="text1"/>
          <w:kern w:val="0"/>
          <w:lang w:val="es-ES"/>
          <w14:ligatures w14:val="none"/>
        </w:rPr>
        <w:t>e</w:t>
      </w:r>
      <w:r w:rsidRPr="00324F0C">
        <w:rPr>
          <w:rFonts w:ascii="Arial" w:eastAsia="Arial" w:hAnsi="Arial" w:cs="Arial"/>
          <w:color w:val="000000" w:themeColor="text1"/>
          <w:kern w:val="0"/>
          <w:lang w:val="es-ES"/>
          <w14:ligatures w14:val="none"/>
        </w:rPr>
        <w:t xml:space="preserve">n </w:t>
      </w:r>
      <w:r>
        <w:rPr>
          <w:rFonts w:ascii="Arial" w:eastAsia="Arial" w:hAnsi="Arial" w:cs="Arial"/>
          <w:color w:val="000000" w:themeColor="text1"/>
          <w:kern w:val="0"/>
          <w:lang w:val="es-ES"/>
          <w14:ligatures w14:val="none"/>
        </w:rPr>
        <w:t>l</w:t>
      </w:r>
      <w:r w:rsidRPr="00324F0C">
        <w:rPr>
          <w:rFonts w:ascii="Arial" w:eastAsia="Arial" w:hAnsi="Arial" w:cs="Arial"/>
          <w:color w:val="000000" w:themeColor="text1"/>
          <w:kern w:val="0"/>
          <w:lang w:val="es-ES"/>
          <w14:ligatures w14:val="none"/>
        </w:rPr>
        <w:t xml:space="preserve">a </w:t>
      </w:r>
      <w:r>
        <w:rPr>
          <w:rFonts w:ascii="Arial" w:eastAsia="Arial" w:hAnsi="Arial" w:cs="Arial"/>
          <w:color w:val="000000" w:themeColor="text1"/>
          <w:kern w:val="0"/>
          <w:lang w:val="es-ES"/>
          <w14:ligatures w14:val="none"/>
        </w:rPr>
        <w:t>e</w:t>
      </w:r>
      <w:r w:rsidRPr="00324F0C">
        <w:rPr>
          <w:rFonts w:ascii="Arial" w:eastAsia="Arial" w:hAnsi="Arial" w:cs="Arial"/>
          <w:color w:val="000000" w:themeColor="text1"/>
          <w:kern w:val="0"/>
          <w:lang w:val="es-ES"/>
          <w14:ligatures w14:val="none"/>
        </w:rPr>
        <w:t>ducación</w:t>
      </w:r>
    </w:p>
    <w:p w14:paraId="217FD741" w14:textId="77777777" w:rsidR="006E7A7E" w:rsidRPr="00324F0C" w:rsidRDefault="006E7A7E" w:rsidP="006E7A7E">
      <w:pPr>
        <w:spacing w:after="0" w:line="360" w:lineRule="auto"/>
        <w:rPr>
          <w:rFonts w:ascii="Arial" w:eastAsia="Arial" w:hAnsi="Arial" w:cs="Arial"/>
          <w:color w:val="000000" w:themeColor="text1"/>
          <w:kern w:val="0"/>
          <w:sz w:val="24"/>
          <w:szCs w:val="24"/>
          <w:lang w:val="es-ES"/>
          <w14:ligatures w14:val="none"/>
        </w:rPr>
      </w:pPr>
      <w:r w:rsidRPr="00324F0C">
        <w:rPr>
          <w:rFonts w:ascii="Arial" w:eastAsia="Arial" w:hAnsi="Arial" w:cs="Arial"/>
          <w:color w:val="000000" w:themeColor="text1"/>
          <w:kern w:val="0"/>
          <w:lang w:val="es-ES"/>
          <w14:ligatures w14:val="none"/>
        </w:rPr>
        <w:t>Beatriz A. Corona-Figueroa</w:t>
      </w:r>
    </w:p>
    <w:p w14:paraId="4071966E" w14:textId="77777777" w:rsidR="006E7A7E" w:rsidRPr="00324F0C" w:rsidRDefault="006E7A7E" w:rsidP="006E7A7E">
      <w:pPr>
        <w:spacing w:after="0" w:line="360" w:lineRule="auto"/>
        <w:rPr>
          <w:rFonts w:ascii="Arial" w:eastAsia="Arial" w:hAnsi="Arial" w:cs="Arial"/>
          <w:color w:val="000000" w:themeColor="text1"/>
          <w:kern w:val="0"/>
          <w:sz w:val="24"/>
          <w:szCs w:val="24"/>
          <w:lang w:val="es-ES"/>
          <w14:ligatures w14:val="none"/>
        </w:rPr>
      </w:pPr>
      <w:r w:rsidRPr="00324F0C">
        <w:rPr>
          <w:rFonts w:ascii="Arial" w:eastAsia="Arial" w:hAnsi="Arial" w:cs="Arial"/>
          <w:color w:val="000000" w:themeColor="text1"/>
          <w:kern w:val="0"/>
          <w:lang w:val="es-ES"/>
          <w14:ligatures w14:val="none"/>
        </w:rPr>
        <w:t>María Fernanda Flores Álvarez</w:t>
      </w:r>
    </w:p>
    <w:p w14:paraId="60A4CE2E" w14:textId="77777777" w:rsidR="006E7A7E" w:rsidRPr="00324F0C" w:rsidRDefault="006E7A7E" w:rsidP="006E7A7E">
      <w:pPr>
        <w:spacing w:after="0" w:line="360" w:lineRule="auto"/>
        <w:rPr>
          <w:rFonts w:ascii="Arial" w:eastAsia="Arial" w:hAnsi="Arial" w:cs="Arial"/>
          <w:color w:val="000000" w:themeColor="text1"/>
          <w:kern w:val="0"/>
          <w:sz w:val="24"/>
          <w:szCs w:val="24"/>
          <w:lang w:val="es-ES"/>
          <w14:ligatures w14:val="none"/>
        </w:rPr>
      </w:pPr>
      <w:r w:rsidRPr="00324F0C">
        <w:rPr>
          <w:rFonts w:ascii="Arial" w:eastAsia="Arial" w:hAnsi="Arial" w:cs="Arial"/>
          <w:color w:val="000000" w:themeColor="text1"/>
          <w:kern w:val="0"/>
          <w:lang w:val="es-ES"/>
          <w14:ligatures w14:val="none"/>
        </w:rPr>
        <w:t>Ana Rosa Navarro Hernández</w:t>
      </w:r>
    </w:p>
    <w:p w14:paraId="2D869AD8" w14:textId="77777777" w:rsidR="006E7A7E" w:rsidRPr="00324F0C" w:rsidRDefault="006E7A7E" w:rsidP="006E7A7E">
      <w:pPr>
        <w:spacing w:after="0" w:line="360" w:lineRule="auto"/>
        <w:rPr>
          <w:rFonts w:ascii="Arial" w:hAnsi="Arial" w:cs="Arial"/>
          <w:color w:val="000000" w:themeColor="text1"/>
          <w:sz w:val="24"/>
          <w:szCs w:val="24"/>
        </w:rPr>
      </w:pPr>
    </w:p>
    <w:p w14:paraId="1FEF2C09" w14:textId="77777777" w:rsidR="006E7A7E" w:rsidRPr="00324F0C" w:rsidRDefault="006E7A7E" w:rsidP="006E7A7E">
      <w:pPr>
        <w:spacing w:after="0" w:line="360" w:lineRule="auto"/>
        <w:rPr>
          <w:rFonts w:ascii="Arial" w:eastAsia="Calibri" w:hAnsi="Arial" w:cs="Arial"/>
          <w:color w:val="000000" w:themeColor="text1"/>
          <w:sz w:val="24"/>
          <w:szCs w:val="24"/>
        </w:rPr>
      </w:pPr>
      <w:r w:rsidRPr="00324F0C">
        <w:rPr>
          <w:rFonts w:ascii="Arial" w:hAnsi="Arial" w:cs="Arial"/>
          <w:color w:val="000000" w:themeColor="text1"/>
        </w:rPr>
        <w:t>Capítulo I</w:t>
      </w:r>
      <w:r>
        <w:rPr>
          <w:rFonts w:ascii="Arial" w:hAnsi="Arial" w:cs="Arial"/>
          <w:color w:val="000000" w:themeColor="text1"/>
        </w:rPr>
        <w:t>II</w:t>
      </w:r>
      <w:r w:rsidRPr="00324F0C">
        <w:rPr>
          <w:rFonts w:ascii="Arial" w:hAnsi="Arial" w:cs="Arial"/>
          <w:color w:val="000000" w:themeColor="text1"/>
        </w:rPr>
        <w:t xml:space="preserve">. </w:t>
      </w:r>
      <w:r w:rsidRPr="00324F0C">
        <w:rPr>
          <w:rFonts w:ascii="Arial" w:eastAsia="Calibri" w:hAnsi="Arial" w:cs="Arial"/>
          <w:color w:val="000000" w:themeColor="text1"/>
        </w:rPr>
        <w:t xml:space="preserve">Sin </w:t>
      </w:r>
      <w:r>
        <w:rPr>
          <w:rFonts w:ascii="Arial" w:eastAsia="Calibri" w:hAnsi="Arial" w:cs="Arial"/>
          <w:color w:val="000000" w:themeColor="text1"/>
        </w:rPr>
        <w:t>conciencia es imposible la inteligencia, reflexión en torno a la “inteligencia artificial”.</w:t>
      </w:r>
    </w:p>
    <w:p w14:paraId="35790766" w14:textId="77777777" w:rsidR="006E7A7E" w:rsidRPr="00324F0C" w:rsidRDefault="006E7A7E" w:rsidP="006E7A7E">
      <w:pPr>
        <w:spacing w:after="0" w:line="360" w:lineRule="auto"/>
        <w:rPr>
          <w:rFonts w:ascii="Arial" w:eastAsia="Calibri" w:hAnsi="Arial" w:cs="Arial"/>
          <w:color w:val="000000" w:themeColor="text1"/>
          <w:sz w:val="24"/>
          <w:szCs w:val="24"/>
        </w:rPr>
      </w:pPr>
      <w:r w:rsidRPr="00324F0C">
        <w:rPr>
          <w:rFonts w:ascii="Arial" w:eastAsia="Calibri" w:hAnsi="Arial" w:cs="Arial"/>
          <w:color w:val="000000" w:themeColor="text1"/>
        </w:rPr>
        <w:t>Silviano DE Jesús De Anda Ibarra</w:t>
      </w:r>
    </w:p>
    <w:p w14:paraId="7F1D9B62" w14:textId="77777777" w:rsidR="006E7A7E" w:rsidRPr="00324F0C" w:rsidRDefault="006E7A7E" w:rsidP="006E7A7E">
      <w:pPr>
        <w:spacing w:after="0" w:line="360" w:lineRule="auto"/>
        <w:rPr>
          <w:rFonts w:ascii="Arial" w:eastAsia="Calibri" w:hAnsi="Arial" w:cs="Arial"/>
          <w:color w:val="000000" w:themeColor="text1"/>
          <w:sz w:val="24"/>
          <w:szCs w:val="24"/>
        </w:rPr>
      </w:pPr>
    </w:p>
    <w:p w14:paraId="2DDEFBCF" w14:textId="77777777" w:rsidR="006E7A7E" w:rsidRPr="00324F0C" w:rsidRDefault="006E7A7E" w:rsidP="006E7A7E">
      <w:pPr>
        <w:spacing w:after="0" w:line="360" w:lineRule="auto"/>
        <w:rPr>
          <w:rFonts w:ascii="Arial" w:hAnsi="Arial" w:cs="Arial"/>
          <w:color w:val="000000" w:themeColor="text1"/>
          <w:sz w:val="24"/>
          <w:szCs w:val="24"/>
        </w:rPr>
      </w:pPr>
      <w:r w:rsidRPr="00324F0C">
        <w:rPr>
          <w:rFonts w:ascii="Arial" w:eastAsia="Calibri" w:hAnsi="Arial" w:cs="Arial"/>
          <w:color w:val="000000" w:themeColor="text1"/>
        </w:rPr>
        <w:t>Capítulo I</w:t>
      </w:r>
      <w:r>
        <w:rPr>
          <w:rFonts w:ascii="Arial" w:eastAsia="Calibri" w:hAnsi="Arial" w:cs="Arial"/>
          <w:color w:val="000000" w:themeColor="text1"/>
        </w:rPr>
        <w:t>V</w:t>
      </w:r>
      <w:r w:rsidRPr="00324F0C">
        <w:rPr>
          <w:rFonts w:ascii="Arial" w:eastAsia="Calibri" w:hAnsi="Arial" w:cs="Arial"/>
          <w:color w:val="000000" w:themeColor="text1"/>
        </w:rPr>
        <w:t xml:space="preserve">. </w:t>
      </w:r>
      <w:sdt>
        <w:sdtPr>
          <w:rPr>
            <w:rFonts w:ascii="Arial" w:hAnsi="Arial" w:cs="Arial"/>
            <w:color w:val="000000" w:themeColor="text1"/>
            <w:sz w:val="24"/>
            <w:szCs w:val="24"/>
          </w:rPr>
          <w:id w:val="1429466668"/>
        </w:sdtPr>
        <w:sdtContent>
          <w:r w:rsidRPr="00324F0C">
            <w:rPr>
              <w:rFonts w:ascii="Arial" w:hAnsi="Arial" w:cs="Arial"/>
              <w:color w:val="000000" w:themeColor="text1"/>
            </w:rPr>
            <w:t xml:space="preserve">Redes </w:t>
          </w:r>
          <w:r>
            <w:rPr>
              <w:rFonts w:ascii="Arial" w:hAnsi="Arial" w:cs="Arial"/>
              <w:color w:val="000000" w:themeColor="text1"/>
            </w:rPr>
            <w:t xml:space="preserve">transnacionales de investigación colaborativa en el campo de la salud global: realidades, desafíos y perspectivas. </w:t>
          </w:r>
          <w:r w:rsidRPr="00324F0C">
            <w:rPr>
              <w:rFonts w:ascii="Arial" w:hAnsi="Arial" w:cs="Arial"/>
              <w:color w:val="000000" w:themeColor="text1"/>
            </w:rPr>
            <w:t xml:space="preserve"> </w:t>
          </w:r>
        </w:sdtContent>
      </w:sdt>
    </w:p>
    <w:p w14:paraId="5E6EFBC1" w14:textId="77777777" w:rsidR="006E7A7E" w:rsidRPr="00324F0C" w:rsidRDefault="006E7A7E" w:rsidP="006E7A7E">
      <w:pPr>
        <w:spacing w:after="0" w:line="360" w:lineRule="auto"/>
        <w:rPr>
          <w:rFonts w:ascii="Arial" w:eastAsia="Calibri" w:hAnsi="Arial" w:cs="Arial"/>
          <w:color w:val="000000" w:themeColor="text1"/>
          <w:sz w:val="24"/>
          <w:szCs w:val="24"/>
        </w:rPr>
      </w:pPr>
      <w:r w:rsidRPr="00324F0C">
        <w:rPr>
          <w:rFonts w:ascii="Arial" w:hAnsi="Arial" w:cs="Arial"/>
          <w:color w:val="000000" w:themeColor="text1"/>
        </w:rPr>
        <w:t>José Carlos Suarez-Herrera</w:t>
      </w:r>
    </w:p>
    <w:p w14:paraId="62BD06DC" w14:textId="77777777" w:rsidR="006E7A7E" w:rsidRPr="00324F0C" w:rsidRDefault="006E7A7E" w:rsidP="006E7A7E">
      <w:pPr>
        <w:pStyle w:val="Ttulo1"/>
        <w:spacing w:line="360" w:lineRule="auto"/>
        <w:rPr>
          <w:rFonts w:ascii="Arial" w:hAnsi="Arial" w:cs="Arial"/>
          <w:color w:val="000000" w:themeColor="text1"/>
          <w:sz w:val="24"/>
          <w:szCs w:val="24"/>
        </w:rPr>
      </w:pPr>
      <w:r w:rsidRPr="00324F0C">
        <w:rPr>
          <w:rFonts w:ascii="Arial" w:hAnsi="Arial" w:cs="Arial"/>
          <w:color w:val="000000" w:themeColor="text1"/>
          <w:sz w:val="24"/>
          <w:szCs w:val="24"/>
        </w:rPr>
        <w:t xml:space="preserve">Capítulo V. Administración </w:t>
      </w:r>
      <w:r>
        <w:rPr>
          <w:rFonts w:ascii="Arial" w:hAnsi="Arial" w:cs="Arial"/>
          <w:color w:val="000000" w:themeColor="text1"/>
          <w:sz w:val="24"/>
          <w:szCs w:val="24"/>
        </w:rPr>
        <w:t>de</w:t>
      </w:r>
      <w:r w:rsidRPr="00324F0C">
        <w:rPr>
          <w:rFonts w:ascii="Arial" w:hAnsi="Arial" w:cs="Arial"/>
          <w:color w:val="000000" w:themeColor="text1"/>
          <w:sz w:val="24"/>
          <w:szCs w:val="24"/>
        </w:rPr>
        <w:t xml:space="preserve"> </w:t>
      </w:r>
      <w:r>
        <w:rPr>
          <w:rFonts w:ascii="Arial" w:hAnsi="Arial" w:cs="Arial"/>
          <w:color w:val="000000" w:themeColor="text1"/>
          <w:sz w:val="24"/>
          <w:szCs w:val="24"/>
        </w:rPr>
        <w:t>p</w:t>
      </w:r>
      <w:r w:rsidRPr="00324F0C">
        <w:rPr>
          <w:rFonts w:ascii="Arial" w:hAnsi="Arial" w:cs="Arial"/>
          <w:color w:val="000000" w:themeColor="text1"/>
          <w:sz w:val="24"/>
          <w:szCs w:val="24"/>
        </w:rPr>
        <w:t xml:space="preserve">royectos: </w:t>
      </w:r>
      <w:r>
        <w:rPr>
          <w:rFonts w:ascii="Arial" w:hAnsi="Arial" w:cs="Arial"/>
          <w:color w:val="000000" w:themeColor="text1"/>
          <w:sz w:val="24"/>
          <w:szCs w:val="24"/>
        </w:rPr>
        <w:t>e</w:t>
      </w:r>
      <w:r w:rsidRPr="00324F0C">
        <w:rPr>
          <w:rFonts w:ascii="Arial" w:hAnsi="Arial" w:cs="Arial"/>
          <w:color w:val="000000" w:themeColor="text1"/>
          <w:sz w:val="24"/>
          <w:szCs w:val="24"/>
        </w:rPr>
        <w:t xml:space="preserve">volución </w:t>
      </w:r>
      <w:r>
        <w:rPr>
          <w:rFonts w:ascii="Arial" w:hAnsi="Arial" w:cs="Arial"/>
          <w:color w:val="000000" w:themeColor="text1"/>
          <w:sz w:val="24"/>
          <w:szCs w:val="24"/>
        </w:rPr>
        <w:t>t</w:t>
      </w:r>
      <w:r w:rsidRPr="00324F0C">
        <w:rPr>
          <w:rFonts w:ascii="Arial" w:hAnsi="Arial" w:cs="Arial"/>
          <w:color w:val="000000" w:themeColor="text1"/>
          <w:sz w:val="24"/>
          <w:szCs w:val="24"/>
        </w:rPr>
        <w:t xml:space="preserve">eórica </w:t>
      </w:r>
      <w:r>
        <w:rPr>
          <w:rFonts w:ascii="Arial" w:hAnsi="Arial" w:cs="Arial"/>
          <w:color w:val="000000" w:themeColor="text1"/>
          <w:sz w:val="24"/>
          <w:szCs w:val="24"/>
        </w:rPr>
        <w:t>y</w:t>
      </w:r>
      <w:r w:rsidRPr="00324F0C">
        <w:rPr>
          <w:rFonts w:ascii="Arial" w:hAnsi="Arial" w:cs="Arial"/>
          <w:color w:val="000000" w:themeColor="text1"/>
          <w:sz w:val="24"/>
          <w:szCs w:val="24"/>
        </w:rPr>
        <w:t xml:space="preserve"> </w:t>
      </w:r>
      <w:r>
        <w:rPr>
          <w:rFonts w:ascii="Arial" w:hAnsi="Arial" w:cs="Arial"/>
          <w:color w:val="000000" w:themeColor="text1"/>
          <w:sz w:val="24"/>
          <w:szCs w:val="24"/>
        </w:rPr>
        <w:t>p</w:t>
      </w:r>
      <w:r w:rsidRPr="00324F0C">
        <w:rPr>
          <w:rFonts w:ascii="Arial" w:hAnsi="Arial" w:cs="Arial"/>
          <w:color w:val="000000" w:themeColor="text1"/>
          <w:sz w:val="24"/>
          <w:szCs w:val="24"/>
        </w:rPr>
        <w:t xml:space="preserve">erspectiva </w:t>
      </w:r>
      <w:r>
        <w:rPr>
          <w:rFonts w:ascii="Arial" w:hAnsi="Arial" w:cs="Arial"/>
          <w:color w:val="000000" w:themeColor="text1"/>
          <w:sz w:val="24"/>
          <w:szCs w:val="24"/>
        </w:rPr>
        <w:t>e</w:t>
      </w:r>
      <w:r w:rsidRPr="00324F0C">
        <w:rPr>
          <w:rFonts w:ascii="Arial" w:hAnsi="Arial" w:cs="Arial"/>
          <w:color w:val="000000" w:themeColor="text1"/>
          <w:sz w:val="24"/>
          <w:szCs w:val="24"/>
        </w:rPr>
        <w:t xml:space="preserve">mpírica </w:t>
      </w:r>
      <w:r>
        <w:rPr>
          <w:rFonts w:ascii="Arial" w:hAnsi="Arial" w:cs="Arial"/>
          <w:color w:val="000000" w:themeColor="text1"/>
          <w:sz w:val="24"/>
          <w:szCs w:val="24"/>
        </w:rPr>
        <w:t>c</w:t>
      </w:r>
      <w:r w:rsidRPr="00324F0C">
        <w:rPr>
          <w:rFonts w:ascii="Arial" w:hAnsi="Arial" w:cs="Arial"/>
          <w:color w:val="000000" w:themeColor="text1"/>
          <w:sz w:val="24"/>
          <w:szCs w:val="24"/>
        </w:rPr>
        <w:t xml:space="preserve">uantitativa </w:t>
      </w:r>
      <w:r>
        <w:rPr>
          <w:rFonts w:ascii="Arial" w:hAnsi="Arial" w:cs="Arial"/>
          <w:color w:val="000000" w:themeColor="text1"/>
          <w:sz w:val="24"/>
          <w:szCs w:val="24"/>
        </w:rPr>
        <w:t>en</w:t>
      </w:r>
      <w:r w:rsidRPr="00324F0C">
        <w:rPr>
          <w:rFonts w:ascii="Arial" w:hAnsi="Arial" w:cs="Arial"/>
          <w:color w:val="000000" w:themeColor="text1"/>
          <w:sz w:val="24"/>
          <w:szCs w:val="24"/>
        </w:rPr>
        <w:t xml:space="preserve"> Oil &amp;Gas </w:t>
      </w:r>
      <w:r>
        <w:rPr>
          <w:rFonts w:ascii="Arial" w:hAnsi="Arial" w:cs="Arial"/>
          <w:color w:val="000000" w:themeColor="text1"/>
          <w:sz w:val="24"/>
          <w:szCs w:val="24"/>
        </w:rPr>
        <w:t>de</w:t>
      </w:r>
      <w:r w:rsidRPr="00324F0C">
        <w:rPr>
          <w:rFonts w:ascii="Arial" w:hAnsi="Arial" w:cs="Arial"/>
          <w:color w:val="000000" w:themeColor="text1"/>
          <w:sz w:val="24"/>
          <w:szCs w:val="24"/>
        </w:rPr>
        <w:t xml:space="preserve"> México</w:t>
      </w:r>
    </w:p>
    <w:p w14:paraId="08BD0768" w14:textId="77777777" w:rsidR="006E7A7E" w:rsidRPr="00324F0C" w:rsidRDefault="006E7A7E" w:rsidP="006E7A7E">
      <w:pPr>
        <w:pStyle w:val="Ttulo1"/>
        <w:spacing w:before="0" w:line="360" w:lineRule="auto"/>
        <w:rPr>
          <w:rFonts w:ascii="Arial" w:hAnsi="Arial" w:cs="Arial"/>
          <w:color w:val="000000" w:themeColor="text1"/>
          <w:sz w:val="24"/>
          <w:szCs w:val="24"/>
          <w:lang w:val="es-MX"/>
        </w:rPr>
      </w:pPr>
      <w:r w:rsidRPr="00324F0C">
        <w:rPr>
          <w:rFonts w:ascii="Arial" w:hAnsi="Arial" w:cs="Arial"/>
          <w:color w:val="000000" w:themeColor="text1"/>
          <w:sz w:val="24"/>
          <w:szCs w:val="24"/>
        </w:rPr>
        <w:t>María De LA Luz Martínez</w:t>
      </w:r>
    </w:p>
    <w:p w14:paraId="56D1E052" w14:textId="77777777" w:rsidR="006E7A7E" w:rsidRPr="00324F0C" w:rsidRDefault="006E7A7E" w:rsidP="006E7A7E">
      <w:pPr>
        <w:pStyle w:val="Ttulo1"/>
        <w:spacing w:before="0" w:line="360" w:lineRule="auto"/>
        <w:rPr>
          <w:rFonts w:ascii="Arial" w:hAnsi="Arial" w:cs="Arial"/>
          <w:color w:val="000000" w:themeColor="text1"/>
          <w:sz w:val="24"/>
          <w:szCs w:val="24"/>
          <w:lang w:val="es-MX"/>
        </w:rPr>
      </w:pPr>
      <w:r w:rsidRPr="00324F0C">
        <w:rPr>
          <w:rFonts w:ascii="Arial" w:hAnsi="Arial" w:cs="Arial"/>
          <w:color w:val="000000" w:themeColor="text1"/>
          <w:sz w:val="24"/>
          <w:szCs w:val="24"/>
        </w:rPr>
        <w:t>Lilián Patricia Parra López</w:t>
      </w:r>
    </w:p>
    <w:p w14:paraId="4C9784D4" w14:textId="77777777" w:rsidR="006E7A7E" w:rsidRPr="00324F0C" w:rsidRDefault="006E7A7E" w:rsidP="006E7A7E">
      <w:pPr>
        <w:spacing w:after="0" w:line="360" w:lineRule="auto"/>
        <w:rPr>
          <w:rFonts w:ascii="Arial" w:hAnsi="Arial" w:cs="Arial"/>
          <w:color w:val="000000" w:themeColor="text1"/>
          <w:sz w:val="24"/>
          <w:szCs w:val="24"/>
        </w:rPr>
      </w:pPr>
    </w:p>
    <w:p w14:paraId="6BCF8717" w14:textId="77777777" w:rsidR="006E7A7E" w:rsidRPr="00324F0C" w:rsidRDefault="006E7A7E" w:rsidP="006E7A7E">
      <w:pPr>
        <w:spacing w:after="0" w:line="360" w:lineRule="auto"/>
        <w:rPr>
          <w:rFonts w:ascii="Arial" w:hAnsi="Arial" w:cs="Arial"/>
          <w:color w:val="000000" w:themeColor="text1"/>
          <w:sz w:val="24"/>
          <w:szCs w:val="24"/>
        </w:rPr>
      </w:pPr>
    </w:p>
    <w:p w14:paraId="137E618A" w14:textId="77777777" w:rsidR="006E7A7E" w:rsidRDefault="006E7A7E" w:rsidP="006E7A7E">
      <w:pPr>
        <w:spacing w:after="0" w:line="360" w:lineRule="auto"/>
        <w:rPr>
          <w:rFonts w:ascii="Arial" w:hAnsi="Arial" w:cs="Arial"/>
          <w:color w:val="000000" w:themeColor="text1"/>
        </w:rPr>
      </w:pPr>
    </w:p>
    <w:p w14:paraId="72709910" w14:textId="77777777" w:rsidR="006E7A7E" w:rsidRDefault="006E7A7E" w:rsidP="006E7A7E">
      <w:pPr>
        <w:spacing w:after="0" w:line="360" w:lineRule="auto"/>
        <w:rPr>
          <w:rFonts w:ascii="Arial" w:hAnsi="Arial" w:cs="Arial"/>
          <w:color w:val="000000" w:themeColor="text1"/>
        </w:rPr>
      </w:pPr>
    </w:p>
    <w:p w14:paraId="64ACE1E9" w14:textId="77777777" w:rsidR="006E7A7E" w:rsidRDefault="006E7A7E" w:rsidP="006E7A7E">
      <w:pPr>
        <w:spacing w:after="0" w:line="360" w:lineRule="auto"/>
        <w:rPr>
          <w:rFonts w:ascii="Arial" w:hAnsi="Arial" w:cs="Arial"/>
          <w:color w:val="000000" w:themeColor="text1"/>
        </w:rPr>
      </w:pPr>
    </w:p>
    <w:p w14:paraId="5763A573" w14:textId="77777777" w:rsidR="006E7A7E" w:rsidRDefault="006E7A7E" w:rsidP="006E7A7E">
      <w:pPr>
        <w:spacing w:after="0" w:line="360" w:lineRule="auto"/>
        <w:rPr>
          <w:rFonts w:ascii="Arial" w:hAnsi="Arial" w:cs="Arial"/>
          <w:color w:val="000000" w:themeColor="text1"/>
        </w:rPr>
      </w:pPr>
    </w:p>
    <w:p w14:paraId="24CF05A5" w14:textId="77777777" w:rsidR="006E7A7E" w:rsidRDefault="006E7A7E" w:rsidP="006E7A7E">
      <w:pPr>
        <w:spacing w:after="0" w:line="360" w:lineRule="auto"/>
        <w:rPr>
          <w:rFonts w:ascii="Arial" w:hAnsi="Arial" w:cs="Arial"/>
          <w:color w:val="000000" w:themeColor="text1"/>
        </w:rPr>
      </w:pPr>
    </w:p>
    <w:p w14:paraId="6AE7C2FB" w14:textId="77777777" w:rsidR="006E7A7E" w:rsidRDefault="006E7A7E" w:rsidP="006E7A7E">
      <w:pPr>
        <w:spacing w:after="0" w:line="360" w:lineRule="auto"/>
        <w:rPr>
          <w:rFonts w:ascii="Arial" w:hAnsi="Arial" w:cs="Arial"/>
          <w:b/>
          <w:bCs/>
          <w:color w:val="000000" w:themeColor="text1"/>
        </w:rPr>
      </w:pPr>
    </w:p>
    <w:p w14:paraId="35184EC1" w14:textId="1687983B" w:rsidR="006E7A7E" w:rsidRPr="008D7710" w:rsidRDefault="006E7A7E" w:rsidP="006E7A7E">
      <w:pPr>
        <w:spacing w:after="0" w:line="360" w:lineRule="auto"/>
        <w:rPr>
          <w:rFonts w:ascii="Arial" w:hAnsi="Arial" w:cs="Arial"/>
          <w:b/>
          <w:bCs/>
          <w:color w:val="000000" w:themeColor="text1"/>
        </w:rPr>
      </w:pPr>
      <w:r w:rsidRPr="008D7710">
        <w:rPr>
          <w:rFonts w:ascii="Arial" w:hAnsi="Arial" w:cs="Arial"/>
          <w:b/>
          <w:bCs/>
          <w:color w:val="000000" w:themeColor="text1"/>
        </w:rPr>
        <w:lastRenderedPageBreak/>
        <w:t>JUSTIFICACIÓN</w:t>
      </w:r>
    </w:p>
    <w:p w14:paraId="0092045B" w14:textId="77777777" w:rsidR="006E7A7E" w:rsidRDefault="006E7A7E" w:rsidP="006E7A7E">
      <w:pPr>
        <w:spacing w:after="0" w:line="360" w:lineRule="auto"/>
        <w:rPr>
          <w:rFonts w:ascii="Arial" w:hAnsi="Arial" w:cs="Arial"/>
          <w:color w:val="000000" w:themeColor="text1"/>
        </w:rPr>
      </w:pPr>
    </w:p>
    <w:p w14:paraId="7CBDBA0C" w14:textId="77777777" w:rsidR="006E7A7E" w:rsidRDefault="006E7A7E" w:rsidP="006E7A7E">
      <w:pPr>
        <w:spacing w:after="0" w:line="360" w:lineRule="auto"/>
        <w:rPr>
          <w:rFonts w:ascii="Arial" w:hAnsi="Arial" w:cs="Arial"/>
          <w:color w:val="000000" w:themeColor="text1"/>
        </w:rPr>
      </w:pPr>
      <w:r>
        <w:rPr>
          <w:rFonts w:ascii="Arial" w:hAnsi="Arial" w:cs="Arial"/>
          <w:color w:val="000000" w:themeColor="text1"/>
        </w:rPr>
        <w:t xml:space="preserve">La Organización de las Naciones Unidas (ONU), considera la sostenibilidad y la globalización ejes estratégicos que no se puede separar debido a que la primera se enfoca en el desarrollo sin comprometer el futuro; mientras la segunda permite la interacción de los países para enfrentar retos y soluciones en común. Por lo tanto, ambas tienen una interdependencia para enfrentar la pobreza, desigualdad y crisis climática. </w:t>
      </w:r>
    </w:p>
    <w:p w14:paraId="159757E6" w14:textId="77777777" w:rsidR="006E7A7E" w:rsidRDefault="006E7A7E" w:rsidP="006E7A7E">
      <w:pPr>
        <w:spacing w:after="0" w:line="360" w:lineRule="auto"/>
        <w:rPr>
          <w:rFonts w:ascii="Arial" w:hAnsi="Arial" w:cs="Arial"/>
          <w:color w:val="000000" w:themeColor="text1"/>
        </w:rPr>
      </w:pPr>
    </w:p>
    <w:p w14:paraId="6A13C308" w14:textId="77777777" w:rsidR="006E7A7E" w:rsidRDefault="006E7A7E" w:rsidP="006E7A7E">
      <w:pPr>
        <w:spacing w:after="0" w:line="360" w:lineRule="auto"/>
        <w:ind w:firstLine="708"/>
        <w:rPr>
          <w:rFonts w:ascii="Arial" w:hAnsi="Arial" w:cs="Arial"/>
          <w:color w:val="000000" w:themeColor="text1"/>
        </w:rPr>
      </w:pPr>
      <w:r>
        <w:rPr>
          <w:rFonts w:ascii="Arial" w:hAnsi="Arial" w:cs="Arial"/>
          <w:color w:val="000000" w:themeColor="text1"/>
        </w:rPr>
        <w:t xml:space="preserve">En consecuencia, la investigación económica internacional determina la viabilidad del crecimiento futuro y la equidad entre países debido a que la globalización intensifica la interdependencia económica y ambiental. Por su lado, la sostenibilidad busca el desarrollo con la preservación de los recursos. Sin embargo, se tiene que considerar que se requieren de políticas públicas, competitividad y estabilidad global por parte de los países comprometidos con adoptar los objetivos de desarrollo sostenible (ODS). </w:t>
      </w:r>
    </w:p>
    <w:p w14:paraId="132DF7C1" w14:textId="77777777" w:rsidR="006E7A7E" w:rsidRDefault="006E7A7E" w:rsidP="006E7A7E">
      <w:pPr>
        <w:spacing w:after="0" w:line="360" w:lineRule="auto"/>
        <w:rPr>
          <w:rFonts w:ascii="Arial" w:hAnsi="Arial" w:cs="Arial"/>
          <w:color w:val="000000" w:themeColor="text1"/>
        </w:rPr>
      </w:pPr>
    </w:p>
    <w:p w14:paraId="65866587" w14:textId="77777777" w:rsidR="006E7A7E" w:rsidRDefault="006E7A7E" w:rsidP="006E7A7E">
      <w:pPr>
        <w:spacing w:after="0" w:line="360" w:lineRule="auto"/>
        <w:ind w:firstLine="708"/>
        <w:rPr>
          <w:rFonts w:ascii="Arial" w:hAnsi="Arial" w:cs="Arial"/>
          <w:color w:val="000000" w:themeColor="text1"/>
        </w:rPr>
      </w:pPr>
      <w:r>
        <w:rPr>
          <w:rFonts w:ascii="Arial" w:hAnsi="Arial" w:cs="Arial"/>
          <w:color w:val="000000" w:themeColor="text1"/>
        </w:rPr>
        <w:t xml:space="preserve">Si bien, la globalización permite el acceso al conocimiento, la tecnología y la cultura, también ha evidenciado desigualdad y presión en los recursos naturales. Por lo que la educación debe formar profesionales capaces de comprender la interdependencia de los países y actuar con responsabilidad. Así como, la toma de decisiones económicas, sociales y ambientales que respeten a las futuras generaciones. Y sobre todo que las escuelas y las universidades deben integrar la sostenibilidad en los planes de estudio, en la investigación y en la vida comunitaria. </w:t>
      </w:r>
    </w:p>
    <w:p w14:paraId="6FF1D1A5" w14:textId="77777777" w:rsidR="006E7A7E" w:rsidRDefault="006E7A7E" w:rsidP="006E7A7E">
      <w:pPr>
        <w:spacing w:after="0" w:line="360" w:lineRule="auto"/>
        <w:ind w:firstLine="708"/>
        <w:rPr>
          <w:rFonts w:ascii="Segoe UI Emoji" w:hAnsi="Segoe UI Emoji" w:cs="Segoe UI Emoji"/>
          <w:color w:val="000000" w:themeColor="text1"/>
        </w:rPr>
      </w:pPr>
    </w:p>
    <w:p w14:paraId="2B048C79" w14:textId="193EED36" w:rsidR="006E7A7E" w:rsidRPr="002C29CC" w:rsidRDefault="006E7A7E" w:rsidP="00634580">
      <w:pPr>
        <w:spacing w:line="360" w:lineRule="auto"/>
        <w:ind w:firstLine="708"/>
        <w:rPr>
          <w:rFonts w:ascii="Arial" w:hAnsi="Arial" w:cs="Arial"/>
          <w:color w:val="000000" w:themeColor="text1"/>
        </w:rPr>
      </w:pPr>
      <w:r w:rsidRPr="002C29CC">
        <w:rPr>
          <w:rFonts w:ascii="Arial" w:hAnsi="Arial" w:cs="Arial"/>
          <w:color w:val="000000" w:themeColor="text1"/>
        </w:rPr>
        <w:t xml:space="preserve">Dado lo anterior, </w:t>
      </w:r>
      <w:r w:rsidR="00F82AA9">
        <w:rPr>
          <w:rFonts w:ascii="Arial" w:hAnsi="Arial" w:cs="Arial"/>
          <w:color w:val="000000" w:themeColor="text1"/>
        </w:rPr>
        <w:t xml:space="preserve">el objetivo de este libro es </w:t>
      </w:r>
      <w:r w:rsidR="00F82AA9">
        <w:rPr>
          <w:rFonts w:ascii="Arial" w:hAnsi="Arial" w:cs="Arial"/>
          <w:color w:val="000000" w:themeColor="text1"/>
          <w:lang w:val="es-ES"/>
        </w:rPr>
        <w:t>e</w:t>
      </w:r>
      <w:r w:rsidR="00F82AA9" w:rsidRPr="00F82AA9">
        <w:rPr>
          <w:rFonts w:ascii="Arial" w:hAnsi="Arial" w:cs="Arial"/>
          <w:color w:val="000000" w:themeColor="text1"/>
          <w:lang w:val="es-ES"/>
        </w:rPr>
        <w:t xml:space="preserve">valuar la importancia de las ciencias sociales y su contribución en la globalización y sostenibilidad para fortalecer los sectores estratégicos a través de investigación aplicada. </w:t>
      </w:r>
      <w:r w:rsidR="00F82AA9">
        <w:rPr>
          <w:rFonts w:ascii="Arial" w:hAnsi="Arial" w:cs="Arial"/>
          <w:color w:val="000000" w:themeColor="text1"/>
        </w:rPr>
        <w:t xml:space="preserve">Así mismo, </w:t>
      </w:r>
      <w:r w:rsidRPr="002C29CC">
        <w:rPr>
          <w:rFonts w:ascii="Arial" w:hAnsi="Arial" w:cs="Arial"/>
          <w:color w:val="000000" w:themeColor="text1"/>
        </w:rPr>
        <w:t>aborda temas relacionados con los aspectos que implica la sostenibilidad y la globalización en la educación</w:t>
      </w:r>
      <w:r>
        <w:rPr>
          <w:rFonts w:ascii="Arial" w:hAnsi="Arial" w:cs="Arial"/>
          <w:color w:val="000000" w:themeColor="text1"/>
        </w:rPr>
        <w:t xml:space="preserve">, </w:t>
      </w:r>
      <w:r w:rsidRPr="002C29CC">
        <w:rPr>
          <w:rFonts w:ascii="Arial" w:hAnsi="Arial" w:cs="Arial"/>
          <w:color w:val="000000" w:themeColor="text1"/>
        </w:rPr>
        <w:t xml:space="preserve">la salud, la tecnología y </w:t>
      </w:r>
      <w:r>
        <w:rPr>
          <w:rFonts w:ascii="Arial" w:hAnsi="Arial" w:cs="Arial"/>
          <w:color w:val="000000" w:themeColor="text1"/>
        </w:rPr>
        <w:t xml:space="preserve">el medio </w:t>
      </w:r>
      <w:r w:rsidRPr="002C29CC">
        <w:rPr>
          <w:rFonts w:ascii="Arial" w:hAnsi="Arial" w:cs="Arial"/>
          <w:color w:val="000000" w:themeColor="text1"/>
        </w:rPr>
        <w:t>ambiental, a través de metodologías cualitativ</w:t>
      </w:r>
      <w:r>
        <w:rPr>
          <w:rFonts w:ascii="Arial" w:hAnsi="Arial" w:cs="Arial"/>
          <w:color w:val="000000" w:themeColor="text1"/>
        </w:rPr>
        <w:t>a</w:t>
      </w:r>
      <w:r w:rsidRPr="002C29CC">
        <w:rPr>
          <w:rFonts w:ascii="Arial" w:hAnsi="Arial" w:cs="Arial"/>
          <w:color w:val="000000" w:themeColor="text1"/>
        </w:rPr>
        <w:t xml:space="preserve">s y cuantitativas, cuyos resultados permiten proponer políticas públicas, estrategias </w:t>
      </w:r>
      <w:r>
        <w:rPr>
          <w:rFonts w:ascii="Arial" w:hAnsi="Arial" w:cs="Arial"/>
          <w:color w:val="000000" w:themeColor="text1"/>
        </w:rPr>
        <w:t>e identificar</w:t>
      </w:r>
      <w:r w:rsidRPr="002C29CC">
        <w:rPr>
          <w:rFonts w:ascii="Arial" w:hAnsi="Arial" w:cs="Arial"/>
          <w:color w:val="000000" w:themeColor="text1"/>
        </w:rPr>
        <w:t xml:space="preserve"> los retos que implica un mundo globalizado en donde la interdependencia implica la toma de decisiones eficientes y conscientes </w:t>
      </w:r>
      <w:r>
        <w:rPr>
          <w:rFonts w:ascii="Arial" w:hAnsi="Arial" w:cs="Arial"/>
          <w:color w:val="000000" w:themeColor="text1"/>
        </w:rPr>
        <w:t xml:space="preserve">de los actores internacionales </w:t>
      </w:r>
      <w:r w:rsidRPr="002C29CC">
        <w:rPr>
          <w:rFonts w:ascii="Arial" w:hAnsi="Arial" w:cs="Arial"/>
          <w:color w:val="000000" w:themeColor="text1"/>
        </w:rPr>
        <w:t xml:space="preserve">debido que estas pueden beneficiar o afectar a otros países con los que interactúan.  </w:t>
      </w:r>
    </w:p>
    <w:p w14:paraId="688DB63A" w14:textId="77777777" w:rsidR="006E7A7E" w:rsidRPr="008D7710" w:rsidRDefault="006E7A7E" w:rsidP="006E7A7E">
      <w:pPr>
        <w:spacing w:after="0" w:line="240" w:lineRule="auto"/>
        <w:rPr>
          <w:rFonts w:ascii="Arial" w:hAnsi="Arial" w:cs="Arial"/>
          <w:sz w:val="24"/>
          <w:szCs w:val="24"/>
        </w:rPr>
      </w:pPr>
    </w:p>
    <w:p w14:paraId="654474A5" w14:textId="77777777" w:rsidR="006E7A7E" w:rsidRDefault="006E7A7E" w:rsidP="005915A7">
      <w:pPr>
        <w:spacing w:after="0" w:line="360" w:lineRule="auto"/>
        <w:jc w:val="center"/>
        <w:rPr>
          <w:rFonts w:ascii="Arial" w:hAnsi="Arial" w:cs="Arial"/>
          <w:b/>
          <w:bCs/>
          <w:sz w:val="24"/>
          <w:szCs w:val="24"/>
        </w:rPr>
      </w:pPr>
    </w:p>
    <w:p w14:paraId="5228B96B" w14:textId="34553EA2" w:rsidR="0093626A" w:rsidRDefault="006E7A7E" w:rsidP="005915A7">
      <w:pPr>
        <w:spacing w:after="0" w:line="360" w:lineRule="auto"/>
        <w:jc w:val="center"/>
        <w:rPr>
          <w:rFonts w:ascii="Arial" w:hAnsi="Arial" w:cs="Arial"/>
          <w:sz w:val="24"/>
          <w:szCs w:val="24"/>
        </w:rPr>
      </w:pPr>
      <w:r>
        <w:rPr>
          <w:rFonts w:ascii="Arial" w:hAnsi="Arial" w:cs="Arial"/>
          <w:b/>
          <w:bCs/>
          <w:sz w:val="24"/>
          <w:szCs w:val="24"/>
        </w:rPr>
        <w:lastRenderedPageBreak/>
        <w:t>E</w:t>
      </w:r>
      <w:r w:rsidR="00000000">
        <w:rPr>
          <w:rFonts w:ascii="Arial" w:hAnsi="Arial" w:cs="Arial"/>
          <w:b/>
          <w:bCs/>
          <w:sz w:val="24"/>
          <w:szCs w:val="24"/>
        </w:rPr>
        <w:t>ducación globalizada: apoyo socioafectivo en el aprendizaje como reforzamiento en el desempeño educativo</w:t>
      </w:r>
    </w:p>
    <w:bookmarkEnd w:id="0"/>
    <w:p w14:paraId="7F5E1409" w14:textId="77777777" w:rsidR="0093626A" w:rsidRDefault="00000000" w:rsidP="005915A7">
      <w:pPr>
        <w:spacing w:after="0" w:line="360" w:lineRule="auto"/>
        <w:jc w:val="center"/>
        <w:rPr>
          <w:rFonts w:ascii="Arial" w:eastAsia="Arial" w:hAnsi="Arial" w:cs="Arial"/>
          <w:color w:val="202124"/>
          <w:sz w:val="24"/>
          <w:szCs w:val="24"/>
          <w:lang w:val="en"/>
        </w:rPr>
      </w:pPr>
      <w:r>
        <w:rPr>
          <w:rFonts w:ascii="Arial" w:eastAsia="Arial" w:hAnsi="Arial" w:cs="Arial"/>
          <w:color w:val="202124"/>
          <w:sz w:val="24"/>
          <w:szCs w:val="24"/>
          <w:lang w:val="en"/>
        </w:rPr>
        <w:t>Globalized education: socio-affective support in learning as reinforcement in educational performance</w:t>
      </w:r>
    </w:p>
    <w:p w14:paraId="57339920" w14:textId="77777777" w:rsidR="0093626A" w:rsidRDefault="0093626A" w:rsidP="005915A7">
      <w:pPr>
        <w:spacing w:after="0" w:line="360" w:lineRule="auto"/>
        <w:rPr>
          <w:rFonts w:ascii="Arial" w:eastAsia="Arial" w:hAnsi="Arial" w:cs="Arial"/>
          <w:color w:val="202124"/>
          <w:sz w:val="24"/>
          <w:szCs w:val="24"/>
          <w:lang w:val="en"/>
        </w:rPr>
      </w:pPr>
    </w:p>
    <w:p w14:paraId="71864434" w14:textId="45E02E82" w:rsidR="0093626A" w:rsidRPr="00634580" w:rsidRDefault="00000000" w:rsidP="00634580">
      <w:pPr>
        <w:spacing w:after="0" w:line="360" w:lineRule="auto"/>
        <w:jc w:val="center"/>
        <w:rPr>
          <w:rFonts w:ascii="Arial" w:eastAsia="Arial" w:hAnsi="Arial" w:cs="Arial"/>
          <w:i/>
          <w:iCs/>
          <w:color w:val="202124"/>
          <w:sz w:val="24"/>
          <w:szCs w:val="24"/>
        </w:rPr>
      </w:pPr>
      <w:bookmarkStart w:id="1" w:name="_Hlk219800428"/>
      <w:r w:rsidRPr="00634580">
        <w:rPr>
          <w:rFonts w:ascii="Arial" w:eastAsia="Arial" w:hAnsi="Arial" w:cs="Arial"/>
          <w:i/>
          <w:iCs/>
          <w:color w:val="202124"/>
          <w:sz w:val="24"/>
          <w:szCs w:val="24"/>
        </w:rPr>
        <w:t>Elvira Rodríguez Flores</w:t>
      </w:r>
    </w:p>
    <w:bookmarkEnd w:id="1"/>
    <w:p w14:paraId="46F36817" w14:textId="77777777" w:rsidR="0093626A" w:rsidRPr="00634580" w:rsidRDefault="00000000" w:rsidP="00634580">
      <w:pPr>
        <w:spacing w:after="0" w:line="360" w:lineRule="auto"/>
        <w:jc w:val="center"/>
        <w:rPr>
          <w:rFonts w:ascii="Arial" w:eastAsia="Arial" w:hAnsi="Arial" w:cs="Arial"/>
          <w:i/>
          <w:iCs/>
          <w:sz w:val="24"/>
          <w:szCs w:val="24"/>
        </w:rPr>
      </w:pPr>
      <w:r w:rsidRPr="00634580">
        <w:rPr>
          <w:rFonts w:ascii="Arial" w:eastAsia="Arial" w:hAnsi="Arial" w:cs="Arial"/>
          <w:i/>
          <w:iCs/>
          <w:color w:val="202124"/>
          <w:sz w:val="24"/>
          <w:szCs w:val="24"/>
        </w:rPr>
        <w:t>Universidad Autónoma de Guadalajara</w:t>
      </w:r>
    </w:p>
    <w:p w14:paraId="02ED1519" w14:textId="77777777" w:rsidR="0093626A" w:rsidRPr="00634580" w:rsidRDefault="0093626A" w:rsidP="00634580">
      <w:pPr>
        <w:spacing w:after="0" w:line="360" w:lineRule="auto"/>
        <w:jc w:val="center"/>
        <w:rPr>
          <w:rFonts w:ascii="Arial" w:hAnsi="Arial" w:cs="Arial"/>
          <w:i/>
          <w:iCs/>
          <w:sz w:val="24"/>
          <w:szCs w:val="24"/>
        </w:rPr>
      </w:pPr>
    </w:p>
    <w:p w14:paraId="5C4F1248" w14:textId="77777777" w:rsidR="0093626A" w:rsidRDefault="00000000" w:rsidP="005915A7">
      <w:pPr>
        <w:spacing w:after="0" w:line="360" w:lineRule="auto"/>
        <w:jc w:val="both"/>
        <w:rPr>
          <w:rFonts w:ascii="Arial" w:hAnsi="Arial" w:cs="Arial"/>
          <w:b/>
          <w:bCs/>
          <w:sz w:val="24"/>
          <w:szCs w:val="24"/>
        </w:rPr>
      </w:pPr>
      <w:r>
        <w:rPr>
          <w:rFonts w:ascii="Arial" w:hAnsi="Arial" w:cs="Arial"/>
          <w:b/>
          <w:bCs/>
          <w:sz w:val="24"/>
          <w:szCs w:val="24"/>
        </w:rPr>
        <w:t>Resumen</w:t>
      </w:r>
    </w:p>
    <w:p w14:paraId="607D48D2" w14:textId="77777777" w:rsidR="0093626A" w:rsidRDefault="00000000" w:rsidP="005915A7">
      <w:pPr>
        <w:spacing w:after="0" w:line="36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La globalización representa un punto de base para las instituciones de nivel superior debido a que permite un cambio sociocultural y tecnológico que fomentan el trabajo colaborativo e interdisciplinario</w:t>
      </w:r>
      <w:r>
        <w:rPr>
          <w:rFonts w:ascii="Arial" w:eastAsia="Arial" w:hAnsi="Arial" w:cs="Arial"/>
          <w:sz w:val="24"/>
          <w:szCs w:val="24"/>
        </w:rPr>
        <w:t>. En México, datos del INEGI han demostrado que una tercera parte de los alumnos de estudios superiores refieren sentirse “estresados y aislados” y pareciera que estos cambios emocionales y la falta de trabajo colaborativo</w:t>
      </w:r>
      <w:r>
        <w:rPr>
          <w:rFonts w:ascii="Arial" w:eastAsia="Arial" w:hAnsi="Arial" w:cs="Arial"/>
          <w:strike/>
          <w:sz w:val="24"/>
          <w:szCs w:val="24"/>
        </w:rPr>
        <w:t xml:space="preserve"> </w:t>
      </w:r>
      <w:r>
        <w:rPr>
          <w:rFonts w:ascii="Arial" w:eastAsia="Arial" w:hAnsi="Arial" w:cs="Arial"/>
          <w:sz w:val="24"/>
          <w:szCs w:val="24"/>
        </w:rPr>
        <w:t>afecta directamente el aprendizaje del alumno y por lo tanto su rendimiento escolar. En este sentido, en el trabajo aquí presente nos cuestionamos acerca de ¿qué estrategias de apoyo socioafectivo, durante el aprendizaje, favorecen el desempeño universitario? El estudio se realizó con 472 estudiantes</w:t>
      </w:r>
      <w:r>
        <w:rPr>
          <w:rFonts w:ascii="Arial" w:eastAsia="Arial" w:hAnsi="Arial" w:cs="Arial"/>
          <w:color w:val="D13438"/>
          <w:sz w:val="24"/>
          <w:szCs w:val="24"/>
        </w:rPr>
        <w:t xml:space="preserve"> </w:t>
      </w:r>
      <w:r>
        <w:rPr>
          <w:rFonts w:ascii="Arial" w:eastAsia="Arial" w:hAnsi="Arial" w:cs="Arial"/>
          <w:sz w:val="24"/>
          <w:szCs w:val="24"/>
        </w:rPr>
        <w:t xml:space="preserve">de segundo semestre de la licenciatura en Medicina de la Universidad Autónoma de Guadalajara, </w:t>
      </w:r>
      <w:r>
        <w:rPr>
          <w:rFonts w:ascii="Arial" w:eastAsia="Arial" w:hAnsi="Arial" w:cs="Arial"/>
          <w:color w:val="000000" w:themeColor="text1"/>
          <w:sz w:val="24"/>
          <w:szCs w:val="24"/>
        </w:rPr>
        <w:t xml:space="preserve">Campus </w:t>
      </w:r>
      <w:r>
        <w:rPr>
          <w:rFonts w:ascii="Arial" w:eastAsia="Arial" w:hAnsi="Arial" w:cs="Arial"/>
          <w:sz w:val="24"/>
          <w:szCs w:val="24"/>
        </w:rPr>
        <w:t>Zapopan</w:t>
      </w:r>
      <w:r>
        <w:rPr>
          <w:rFonts w:ascii="Arial" w:eastAsia="Arial" w:hAnsi="Arial" w:cs="Arial"/>
          <w:color w:val="000000" w:themeColor="text1"/>
          <w:sz w:val="24"/>
          <w:szCs w:val="24"/>
        </w:rPr>
        <w:t>. Se analizó la relación existente</w:t>
      </w:r>
      <w:r>
        <w:rPr>
          <w:rFonts w:ascii="Arial" w:eastAsia="Arial" w:hAnsi="Arial" w:cs="Arial"/>
          <w:sz w:val="24"/>
          <w:szCs w:val="24"/>
        </w:rPr>
        <w:t xml:space="preserve"> entre las calificaciones del examen final de la asignatura de Fisiología con el cuestionario ACRA abreviado para universitarios </w:t>
      </w:r>
      <w:r>
        <w:rPr>
          <w:rFonts w:ascii="Arial" w:eastAsia="Arial" w:hAnsi="Arial" w:cs="Arial"/>
          <w:color w:val="000000" w:themeColor="text1"/>
          <w:sz w:val="24"/>
          <w:szCs w:val="24"/>
        </w:rPr>
        <w:t xml:space="preserve">de </w:t>
      </w:r>
      <w:r>
        <w:rPr>
          <w:rFonts w:ascii="Arial" w:eastAsia="Arial" w:hAnsi="Arial" w:cs="Arial"/>
          <w:sz w:val="24"/>
          <w:szCs w:val="24"/>
        </w:rPr>
        <w:t>De La Fuente y Justicia</w:t>
      </w:r>
      <w:r>
        <w:rPr>
          <w:rFonts w:ascii="Arial" w:eastAsia="Arial" w:hAnsi="Arial" w:cs="Arial"/>
          <w:color w:val="000000" w:themeColor="text1"/>
          <w:sz w:val="24"/>
          <w:szCs w:val="24"/>
        </w:rPr>
        <w:t xml:space="preserve"> de 2017</w:t>
      </w:r>
      <w:r>
        <w:rPr>
          <w:rFonts w:ascii="Arial" w:eastAsia="Arial" w:hAnsi="Arial" w:cs="Arial"/>
          <w:sz w:val="24"/>
          <w:szCs w:val="24"/>
        </w:rPr>
        <w:t>, que evalúa las estrategias de aprendizajes usadas por los alumnos al momento de su estudio. Los resultados mostraron que las estrategias más utilizadas por aquellos alumnos que poseen mejores calificaciones fueron las pertenecientes a la dimensión II del cuestionario; en especialmente fue el apoyo social el rubro que mostró más significancia, y la técnica más empleada fue acudir a pares, profesores o familiares al tener dudas en los temas de estudio, o solo para intercambiar información.</w:t>
      </w:r>
    </w:p>
    <w:p w14:paraId="415F8A03" w14:textId="77777777" w:rsidR="0093626A" w:rsidRDefault="0093626A" w:rsidP="005915A7">
      <w:pPr>
        <w:spacing w:after="0" w:line="360" w:lineRule="auto"/>
        <w:jc w:val="both"/>
        <w:rPr>
          <w:rFonts w:ascii="Arial" w:hAnsi="Arial" w:cs="Arial"/>
          <w:b/>
          <w:bCs/>
          <w:sz w:val="24"/>
          <w:szCs w:val="24"/>
        </w:rPr>
      </w:pPr>
    </w:p>
    <w:p w14:paraId="6C9ECFC6" w14:textId="77777777" w:rsidR="005915A7" w:rsidRDefault="005915A7" w:rsidP="005915A7">
      <w:pPr>
        <w:spacing w:after="0" w:line="360" w:lineRule="auto"/>
        <w:jc w:val="both"/>
        <w:rPr>
          <w:rFonts w:ascii="Arial" w:hAnsi="Arial" w:cs="Arial"/>
          <w:b/>
          <w:bCs/>
          <w:sz w:val="24"/>
          <w:szCs w:val="24"/>
        </w:rPr>
      </w:pPr>
    </w:p>
    <w:p w14:paraId="625EB287" w14:textId="77777777" w:rsidR="005915A7" w:rsidRDefault="005915A7" w:rsidP="005915A7">
      <w:pPr>
        <w:spacing w:after="0" w:line="360" w:lineRule="auto"/>
        <w:jc w:val="both"/>
        <w:rPr>
          <w:rFonts w:ascii="Arial" w:hAnsi="Arial" w:cs="Arial"/>
          <w:b/>
          <w:bCs/>
          <w:sz w:val="24"/>
          <w:szCs w:val="24"/>
        </w:rPr>
      </w:pPr>
    </w:p>
    <w:p w14:paraId="093E7A3F" w14:textId="77777777" w:rsidR="0093626A" w:rsidRDefault="00000000" w:rsidP="005915A7">
      <w:pPr>
        <w:spacing w:after="0" w:line="360" w:lineRule="auto"/>
        <w:jc w:val="both"/>
        <w:rPr>
          <w:rFonts w:ascii="Arial" w:hAnsi="Arial" w:cs="Arial"/>
          <w:b/>
          <w:bCs/>
          <w:sz w:val="24"/>
          <w:szCs w:val="24"/>
        </w:rPr>
      </w:pPr>
      <w:r>
        <w:rPr>
          <w:rFonts w:ascii="Arial" w:hAnsi="Arial" w:cs="Arial"/>
          <w:b/>
          <w:bCs/>
          <w:sz w:val="24"/>
          <w:szCs w:val="24"/>
        </w:rPr>
        <w:lastRenderedPageBreak/>
        <w:t>Palabras clave</w:t>
      </w:r>
    </w:p>
    <w:p w14:paraId="3CE47E9B" w14:textId="77777777" w:rsidR="0093626A" w:rsidRDefault="00000000" w:rsidP="005915A7">
      <w:pPr>
        <w:spacing w:after="0" w:line="360" w:lineRule="auto"/>
        <w:jc w:val="both"/>
        <w:rPr>
          <w:rFonts w:ascii="Arial" w:hAnsi="Arial" w:cs="Arial"/>
          <w:sz w:val="24"/>
          <w:szCs w:val="24"/>
        </w:rPr>
      </w:pPr>
      <w:r>
        <w:rPr>
          <w:rFonts w:ascii="Arial" w:hAnsi="Arial" w:cs="Arial"/>
          <w:sz w:val="24"/>
          <w:szCs w:val="24"/>
        </w:rPr>
        <w:t>Estrategias de aprendizaje, apoyo humanitario, desempeño académico, globalización en la educación, educación internacional.</w:t>
      </w:r>
    </w:p>
    <w:p w14:paraId="533CA4DE" w14:textId="77777777" w:rsidR="0093626A" w:rsidRDefault="0093626A" w:rsidP="005915A7">
      <w:pPr>
        <w:spacing w:after="0" w:line="360" w:lineRule="auto"/>
        <w:jc w:val="both"/>
        <w:rPr>
          <w:rFonts w:ascii="Arial" w:hAnsi="Arial" w:cs="Arial"/>
          <w:b/>
          <w:bCs/>
          <w:sz w:val="24"/>
          <w:szCs w:val="24"/>
        </w:rPr>
      </w:pPr>
    </w:p>
    <w:p w14:paraId="588DA9B8" w14:textId="77777777" w:rsidR="0093626A" w:rsidRDefault="00000000" w:rsidP="005915A7">
      <w:pPr>
        <w:spacing w:after="0" w:line="360" w:lineRule="auto"/>
        <w:jc w:val="both"/>
        <w:rPr>
          <w:rFonts w:ascii="Arial" w:hAnsi="Arial" w:cs="Arial"/>
          <w:b/>
          <w:bCs/>
          <w:sz w:val="24"/>
          <w:szCs w:val="24"/>
          <w:lang w:val="en-US"/>
        </w:rPr>
      </w:pPr>
      <w:r>
        <w:rPr>
          <w:rFonts w:ascii="Arial" w:hAnsi="Arial" w:cs="Arial"/>
          <w:b/>
          <w:bCs/>
          <w:sz w:val="24"/>
          <w:szCs w:val="24"/>
          <w:lang w:val="en-US"/>
        </w:rPr>
        <w:t>Abstract</w:t>
      </w:r>
    </w:p>
    <w:p w14:paraId="4DB4E636" w14:textId="77777777" w:rsidR="0093626A" w:rsidRDefault="00000000" w:rsidP="005915A7">
      <w:pPr>
        <w:spacing w:after="0" w:line="360" w:lineRule="auto"/>
        <w:jc w:val="both"/>
        <w:rPr>
          <w:rFonts w:ascii="Arial" w:eastAsia="Arial" w:hAnsi="Arial" w:cs="Arial"/>
          <w:sz w:val="24"/>
          <w:szCs w:val="24"/>
          <w:lang w:val="en-US"/>
        </w:rPr>
      </w:pPr>
      <w:r>
        <w:rPr>
          <w:rFonts w:ascii="Arial" w:eastAsia="Arial" w:hAnsi="Arial" w:cs="Arial"/>
          <w:sz w:val="24"/>
          <w:szCs w:val="24"/>
          <w:lang w:val="en-US"/>
        </w:rPr>
        <w:t>Globalization represents a base point for higher level institutions because it allows a sociocultural and technological change that encourages collaborative and interdisciplinary work and this can directly affect students learning and therefore their performance at school. In this sense, we ask ourselves: What socially affective support strategies, during learning, favor university performance? The study was carried out with second semester students of the Medicine degree belonging to the Autonomous University of Guadalajara. The relationship between the final exam scores for the Physiology course and dimension II of the abbreviated ACRA questionnaire for university students was analyzed. It was concluded that the most used strategy of dimension II of learning support for those students who have better grades was that of social support, and the most used technique was to go to peers, teachers or family members when they have any type of doubts about the study topics, or just to exchange information.</w:t>
      </w:r>
    </w:p>
    <w:p w14:paraId="2FF094D0" w14:textId="77777777" w:rsidR="0093626A" w:rsidRDefault="0093626A" w:rsidP="005915A7">
      <w:pPr>
        <w:spacing w:after="0" w:line="360" w:lineRule="auto"/>
        <w:jc w:val="both"/>
        <w:rPr>
          <w:rFonts w:ascii="Arial" w:eastAsia="Arial" w:hAnsi="Arial" w:cs="Arial"/>
          <w:sz w:val="24"/>
          <w:szCs w:val="24"/>
          <w:lang w:val="en-US"/>
        </w:rPr>
      </w:pPr>
    </w:p>
    <w:p w14:paraId="3B89B852" w14:textId="77777777" w:rsidR="0093626A" w:rsidRDefault="00000000" w:rsidP="005915A7">
      <w:pPr>
        <w:spacing w:after="0" w:line="360" w:lineRule="auto"/>
        <w:jc w:val="both"/>
        <w:rPr>
          <w:rFonts w:ascii="Arial" w:hAnsi="Arial" w:cs="Arial"/>
          <w:b/>
          <w:bCs/>
          <w:sz w:val="24"/>
          <w:szCs w:val="24"/>
          <w:lang w:val="en-US"/>
        </w:rPr>
      </w:pPr>
      <w:r>
        <w:rPr>
          <w:rFonts w:ascii="Arial" w:hAnsi="Arial" w:cs="Arial"/>
          <w:b/>
          <w:bCs/>
          <w:sz w:val="24"/>
          <w:szCs w:val="24"/>
          <w:lang w:val="en-US"/>
        </w:rPr>
        <w:t>Key words</w:t>
      </w:r>
    </w:p>
    <w:p w14:paraId="2D70E394" w14:textId="77777777" w:rsidR="0093626A" w:rsidRDefault="00000000" w:rsidP="005915A7">
      <w:pPr>
        <w:spacing w:after="0" w:line="360" w:lineRule="auto"/>
        <w:jc w:val="both"/>
        <w:rPr>
          <w:rFonts w:ascii="Arial" w:hAnsi="Arial" w:cs="Arial"/>
          <w:sz w:val="24"/>
          <w:szCs w:val="24"/>
          <w:lang w:val="en-US"/>
        </w:rPr>
      </w:pPr>
      <w:r>
        <w:rPr>
          <w:rFonts w:ascii="Arial" w:hAnsi="Arial" w:cs="Arial"/>
          <w:sz w:val="24"/>
          <w:szCs w:val="24"/>
          <w:lang w:val="en-US"/>
        </w:rPr>
        <w:t>Learning strategies, humanitarian support,</w:t>
      </w:r>
      <w:r>
        <w:rPr>
          <w:rFonts w:ascii="Arial" w:hAnsi="Arial" w:cs="Arial"/>
          <w:b/>
          <w:bCs/>
          <w:sz w:val="24"/>
          <w:szCs w:val="24"/>
          <w:lang w:val="en-US"/>
        </w:rPr>
        <w:t xml:space="preserve"> </w:t>
      </w:r>
      <w:r>
        <w:rPr>
          <w:rFonts w:ascii="Arial" w:hAnsi="Arial" w:cs="Arial"/>
          <w:sz w:val="24"/>
          <w:szCs w:val="24"/>
          <w:lang w:val="en-US"/>
        </w:rPr>
        <w:t>academic achievement, globalization of education, international education.</w:t>
      </w:r>
    </w:p>
    <w:p w14:paraId="09243463" w14:textId="77777777" w:rsidR="0093626A" w:rsidRDefault="0093626A" w:rsidP="005915A7">
      <w:pPr>
        <w:spacing w:after="0" w:line="360" w:lineRule="auto"/>
        <w:jc w:val="both"/>
        <w:rPr>
          <w:rFonts w:ascii="Arial" w:hAnsi="Arial" w:cs="Arial"/>
          <w:b/>
          <w:bCs/>
          <w:sz w:val="24"/>
          <w:szCs w:val="24"/>
          <w:lang w:val="en-US"/>
        </w:rPr>
      </w:pPr>
    </w:p>
    <w:p w14:paraId="4CFA5CA8" w14:textId="77777777" w:rsidR="0093626A" w:rsidRDefault="00000000" w:rsidP="005915A7">
      <w:pPr>
        <w:spacing w:after="0" w:line="360" w:lineRule="auto"/>
        <w:jc w:val="both"/>
        <w:rPr>
          <w:rFonts w:ascii="Arial" w:eastAsia="Arial" w:hAnsi="Arial" w:cs="Arial"/>
          <w:sz w:val="24"/>
          <w:szCs w:val="24"/>
        </w:rPr>
      </w:pPr>
      <w:r>
        <w:rPr>
          <w:rFonts w:ascii="Arial" w:hAnsi="Arial" w:cs="Arial"/>
          <w:b/>
          <w:bCs/>
          <w:sz w:val="24"/>
          <w:szCs w:val="24"/>
        </w:rPr>
        <w:t xml:space="preserve">Introducción </w:t>
      </w:r>
    </w:p>
    <w:p w14:paraId="3BC176B1" w14:textId="77777777" w:rsidR="0093626A" w:rsidRDefault="00000000" w:rsidP="005915A7">
      <w:pPr>
        <w:spacing w:after="0" w:line="360" w:lineRule="auto"/>
        <w:jc w:val="both"/>
        <w:rPr>
          <w:rFonts w:ascii="Arial" w:eastAsia="Arial" w:hAnsi="Arial" w:cs="Arial"/>
          <w:sz w:val="24"/>
          <w:szCs w:val="24"/>
          <w:u w:val="single"/>
        </w:rPr>
      </w:pPr>
      <w:r>
        <w:rPr>
          <w:rFonts w:ascii="Arial" w:eastAsia="Arial" w:hAnsi="Arial" w:cs="Arial"/>
          <w:sz w:val="24"/>
          <w:szCs w:val="24"/>
        </w:rPr>
        <w:t>De acuerdo con la UNESCO existen 235 millones de estudiantes inscritos en universidades a través del mundo (UNESCO, 2020). En México de acuerdo con datos del INEGI del 2019, al menos 2.9 millones de jóvenes concluyeron sus estudios de Educación Media Superior (EMS) y tan solo un millón cursa el nivel superior (INEGI, 2020; Del Cambio, 2022); las razones por las que este número disminuye son muchas e incluso entre los estudiantes que asisten a las universidades no todos terminaran su proceso educativo.</w:t>
      </w:r>
    </w:p>
    <w:p w14:paraId="07F34017" w14:textId="77777777" w:rsidR="0093626A" w:rsidRDefault="00000000" w:rsidP="005915A7">
      <w:pPr>
        <w:spacing w:after="0" w:line="360" w:lineRule="auto"/>
        <w:ind w:firstLine="708"/>
        <w:jc w:val="both"/>
        <w:rPr>
          <w:rFonts w:ascii="Arial" w:eastAsia="Arial" w:hAnsi="Arial" w:cs="Arial"/>
          <w:sz w:val="24"/>
          <w:szCs w:val="24"/>
          <w:u w:val="single"/>
        </w:rPr>
      </w:pPr>
      <w:r>
        <w:rPr>
          <w:rFonts w:ascii="Arial" w:eastAsia="Arial" w:hAnsi="Arial" w:cs="Arial"/>
          <w:sz w:val="24"/>
          <w:szCs w:val="24"/>
        </w:rPr>
        <w:lastRenderedPageBreak/>
        <w:t xml:space="preserve">La globalización y la competitividad mundial han hecho imperante la integración de programas educativos internacionales en las universidades y el uso de tecnologías en su día a día. Ejemplo de esto, la UNESCO reporta que 34,781 estudiantes mexicanos universitarios se han movilizado a otros países para continuar con sus estudios mediante programas de colaboración universitaria a muy distintos países; entre los que destacan </w:t>
      </w:r>
      <w:bookmarkStart w:id="2" w:name="_Int_HyRochCH"/>
      <w:r>
        <w:rPr>
          <w:rFonts w:ascii="Arial" w:eastAsia="Arial" w:hAnsi="Arial" w:cs="Arial"/>
          <w:sz w:val="24"/>
          <w:szCs w:val="24"/>
        </w:rPr>
        <w:t>EUA</w:t>
      </w:r>
      <w:bookmarkEnd w:id="2"/>
      <w:r>
        <w:rPr>
          <w:rFonts w:ascii="Arial" w:eastAsia="Arial" w:hAnsi="Arial" w:cs="Arial"/>
          <w:sz w:val="24"/>
          <w:szCs w:val="24"/>
        </w:rPr>
        <w:t>, España, Alemania, Canadá, Francia, Reino Unido, etc. Y tan solo de EUA, México ha recibido en lo que va del año a 20,045 estudiantes (UNESCO, 2023). Datos han mostrado que el 60.5% de toda la población estudiantil universitaria en México, recibe clases a distancia por lo que el uso de las TIC es común para el aprendizaje del alumno sobre todo en escuelas privadas: 74.8% utiliza correos electrónicos, redes sociales y plataformas educativas, 81.7% utiliza su teléfono inteligente para realizar tareas y 73.9% lo hace mediante su computadora portátil (INEGI, 2021). Sin embargo, a pesar de la implementación y financiación de estos grandes recursos en la educación, las universidades siguen teniendo problemas con la deserción y el rendimiento académico de los estudiantes.</w:t>
      </w:r>
    </w:p>
    <w:p w14:paraId="19EE7964" w14:textId="77777777" w:rsidR="0093626A" w:rsidRDefault="0093626A" w:rsidP="005915A7">
      <w:pPr>
        <w:spacing w:after="0" w:line="360" w:lineRule="auto"/>
        <w:ind w:firstLine="708"/>
        <w:jc w:val="both"/>
        <w:rPr>
          <w:rFonts w:ascii="Arial" w:eastAsia="Arial" w:hAnsi="Arial" w:cs="Arial"/>
          <w:sz w:val="24"/>
          <w:szCs w:val="24"/>
        </w:rPr>
      </w:pPr>
    </w:p>
    <w:p w14:paraId="6CB3AC4B" w14:textId="77777777" w:rsidR="0093626A" w:rsidRDefault="00000000" w:rsidP="005915A7">
      <w:pPr>
        <w:spacing w:after="0" w:line="360" w:lineRule="auto"/>
        <w:ind w:firstLine="708"/>
        <w:jc w:val="both"/>
        <w:rPr>
          <w:rFonts w:ascii="Arial" w:hAnsi="Arial" w:cs="Arial"/>
          <w:sz w:val="24"/>
          <w:szCs w:val="24"/>
        </w:rPr>
      </w:pPr>
      <w:r>
        <w:rPr>
          <w:rFonts w:ascii="Arial" w:eastAsia="Arial" w:hAnsi="Arial" w:cs="Arial"/>
          <w:sz w:val="24"/>
          <w:szCs w:val="24"/>
        </w:rPr>
        <w:t>En un comunicado mostrado por el INEGI en noviembre del 2022 se describe que el 36.9% de los estudiantes universitarios mexicanos se sienten “tensionados y estresados” y un 26.5% se sienten “desesperados por trabajos académicos” además de contar con alumnos (en menores porcentajes) con sentimientos de “tristeza y problemas para relacionarse con sus compañeros” (INEGI, 2021). Es por ello que, a pesar del gran desarrollo tecnológico y las interrelaciones culturales y globales que existen en los universitarios actuales, las condiciones socioafectivas siguen siendo de relevancia en el rendimiento académico.</w:t>
      </w:r>
    </w:p>
    <w:p w14:paraId="43E5B793" w14:textId="77777777" w:rsidR="0093626A" w:rsidRDefault="0093626A" w:rsidP="005915A7">
      <w:pPr>
        <w:spacing w:after="0" w:line="360" w:lineRule="auto"/>
        <w:ind w:firstLine="708"/>
        <w:jc w:val="both"/>
        <w:rPr>
          <w:rFonts w:ascii="Arial" w:hAnsi="Arial" w:cs="Arial"/>
          <w:sz w:val="24"/>
          <w:szCs w:val="24"/>
        </w:rPr>
      </w:pPr>
    </w:p>
    <w:p w14:paraId="5EC065D5" w14:textId="77777777" w:rsidR="0093626A" w:rsidRDefault="00000000" w:rsidP="005915A7">
      <w:pPr>
        <w:spacing w:after="0" w:line="360" w:lineRule="auto"/>
        <w:ind w:firstLine="708"/>
        <w:jc w:val="both"/>
        <w:rPr>
          <w:rFonts w:ascii="Arial" w:hAnsi="Arial" w:cs="Arial"/>
          <w:sz w:val="24"/>
          <w:szCs w:val="24"/>
        </w:rPr>
      </w:pPr>
      <w:r>
        <w:rPr>
          <w:rFonts w:ascii="Arial" w:hAnsi="Arial" w:cs="Arial"/>
          <w:sz w:val="24"/>
          <w:szCs w:val="24"/>
        </w:rPr>
        <w:t xml:space="preserve">Esto cobra importancia ya que, en la actualidad, el rendimiento académico continúa siendo un indicador de eficacia y calidad educativa, pero se considera un problema multifactorial en el que intervienen diversas variables como la práctica docente, el tipo de asignatura, entorno familiar, apoyo institucional y motivación (Rodríguez-Pérez, Madrigal-Arroyo, 2016), por lo que el resultado final es la suma </w:t>
      </w:r>
      <w:r>
        <w:rPr>
          <w:rFonts w:ascii="Arial" w:hAnsi="Arial" w:cs="Arial"/>
          <w:sz w:val="24"/>
          <w:szCs w:val="24"/>
        </w:rPr>
        <w:lastRenderedPageBreak/>
        <w:t xml:space="preserve">de estas variables como evidencia del dominio que tiene el estudiante sobre ellas. Torres-Acosta (2013) indica también inteligencia y factores socioeconómicos; además propone la relación con personalidad, refiriendo que este factor es el predictor más robusto del rendimiento académico en alumnos universitarios, así como los enfoques de aprendizaje. Estos son los desafíos a los que los alumnos se enfrentan en su día a día escolar con el objetivo de superar los cursos académicos y adquirir las habilidades necesarias para desarrollarse como profesionales. </w:t>
      </w:r>
    </w:p>
    <w:p w14:paraId="160F77A5" w14:textId="77777777" w:rsidR="0093626A" w:rsidRDefault="0093626A" w:rsidP="005915A7">
      <w:pPr>
        <w:spacing w:after="0" w:line="360" w:lineRule="auto"/>
        <w:ind w:firstLine="708"/>
        <w:jc w:val="both"/>
        <w:rPr>
          <w:rFonts w:ascii="Arial" w:hAnsi="Arial" w:cs="Arial"/>
          <w:sz w:val="24"/>
          <w:szCs w:val="24"/>
        </w:rPr>
      </w:pPr>
    </w:p>
    <w:p w14:paraId="6A6DB18E" w14:textId="77777777" w:rsidR="0093626A" w:rsidRDefault="00000000" w:rsidP="005915A7">
      <w:pPr>
        <w:spacing w:after="0" w:line="360" w:lineRule="auto"/>
        <w:ind w:firstLine="708"/>
        <w:jc w:val="both"/>
        <w:rPr>
          <w:rFonts w:ascii="Arial" w:hAnsi="Arial" w:cs="Arial"/>
          <w:sz w:val="24"/>
          <w:szCs w:val="24"/>
        </w:rPr>
      </w:pPr>
      <w:r>
        <w:rPr>
          <w:rFonts w:ascii="Arial" w:hAnsi="Arial" w:cs="Arial"/>
          <w:sz w:val="24"/>
          <w:szCs w:val="24"/>
        </w:rPr>
        <w:t>La integración de los elementos motivacionales y cognitivos es necesaria para tener una visión completa del proceso de aprendizaje en el contexto escolar, así como para comprender las dificultades que se presentan, Rodríguez-Pérez y Madrigal-Arroyo (2016) relacionaron estos factores a través del uso de estrategias de aprendizaje y solución de problemas, y observaron que los programas de intervención para la mejora del estudio deberían tener en cuenta dos aspectos fundamentales que quedaron muchas veces relegados a un segundo término en aras de la enseñanza de técnicas para estudiar mejor. No tiene sentido enseñarle al alumno estrategias sobre habilidades técnicas si no se logra que desarrolle la capacidad del esfuerzo, persistencia, organización y aprovechamiento del tiempo, y, por otro lado, los alumnos difícilmente se implicarán en una tarea a través del uso de estrategias más adecuadas si no valoran el aprendizaje.</w:t>
      </w:r>
    </w:p>
    <w:p w14:paraId="0D4192C5" w14:textId="77777777" w:rsidR="0093626A" w:rsidRDefault="0093626A" w:rsidP="005915A7">
      <w:pPr>
        <w:spacing w:after="0" w:line="360" w:lineRule="auto"/>
        <w:ind w:firstLine="708"/>
        <w:jc w:val="both"/>
        <w:rPr>
          <w:rFonts w:ascii="Arial" w:hAnsi="Arial" w:cs="Arial"/>
          <w:sz w:val="24"/>
          <w:szCs w:val="24"/>
        </w:rPr>
      </w:pPr>
    </w:p>
    <w:p w14:paraId="27A83E8C" w14:textId="77777777" w:rsidR="0093626A" w:rsidRDefault="00000000" w:rsidP="005915A7">
      <w:pPr>
        <w:spacing w:after="0" w:line="360" w:lineRule="auto"/>
        <w:ind w:firstLine="708"/>
        <w:jc w:val="both"/>
        <w:rPr>
          <w:rFonts w:ascii="Arial" w:hAnsi="Arial" w:cs="Arial"/>
          <w:sz w:val="24"/>
          <w:szCs w:val="24"/>
        </w:rPr>
      </w:pPr>
      <w:r>
        <w:rPr>
          <w:rFonts w:ascii="Arial" w:hAnsi="Arial" w:cs="Arial"/>
          <w:sz w:val="24"/>
          <w:szCs w:val="24"/>
        </w:rPr>
        <w:t>Meza (2013) toma la definición de estrategia de aprendizaje de Monereo (2000), la cual dice que “son un conjunto de acciones que se realizan para obtener un objetivo de aprendizaje”, corresponden a una serie de procesos cognitivos conscientes e intencionados para identificar capacidades y habilidades cognitivas, así como métodos para el estudio, en los que participan una predisposición genética, conducta, habilidades y práctica; Corredor (2009) agrega que las estrategias son intencionadas, controladas y reflexivas, se aplican a través de técnicas y una vez dominadas se llevan a cabo automáticamente.</w:t>
      </w:r>
    </w:p>
    <w:p w14:paraId="7C74566D" w14:textId="77777777" w:rsidR="0093626A" w:rsidRDefault="0093626A" w:rsidP="005915A7">
      <w:pPr>
        <w:spacing w:after="0" w:line="360" w:lineRule="auto"/>
        <w:ind w:firstLine="708"/>
        <w:jc w:val="both"/>
        <w:rPr>
          <w:rFonts w:ascii="Arial" w:hAnsi="Arial" w:cs="Arial"/>
          <w:sz w:val="24"/>
          <w:szCs w:val="24"/>
        </w:rPr>
      </w:pPr>
    </w:p>
    <w:p w14:paraId="16247E13" w14:textId="77777777" w:rsidR="0093626A" w:rsidRDefault="00000000" w:rsidP="005915A7">
      <w:pPr>
        <w:spacing w:after="0" w:line="360" w:lineRule="auto"/>
        <w:ind w:firstLine="708"/>
        <w:jc w:val="both"/>
        <w:rPr>
          <w:rFonts w:ascii="Arial" w:hAnsi="Arial" w:cs="Arial"/>
          <w:sz w:val="24"/>
          <w:szCs w:val="24"/>
        </w:rPr>
      </w:pPr>
      <w:r>
        <w:rPr>
          <w:rFonts w:ascii="Arial" w:hAnsi="Arial" w:cs="Arial"/>
          <w:sz w:val="24"/>
          <w:szCs w:val="24"/>
        </w:rPr>
        <w:lastRenderedPageBreak/>
        <w:t xml:space="preserve">La teoría cognitiva de procesamiento de la información entiende por aprendizaje al proceso en el que los estímulos del entorno son percibidos y transformados en información significativa almacenada en la memoria y posteriormente recuperada y transferida en nuevas situaciones (Castejón, 2013). En esta teoría se mantiene que es mejor que el alumno repita verbalmente la información que sólo leerla. Spitzer, 2002, mencionado por Castejón (2013), indica que las emociones influyen en la recuperación de la información de modo que, por ejemplo, si el alumno codifica estando triste, le será complejo recuperar la información estando alegre, probablemente porque al tener un cambio emocional se discrimina la información aprendida al focalizar la atención en la nueva experiencia emocional. Así mismo, mantener un estado de tranquilidad emocional permite que aquel que estudia pueda habituar la información, y no sólo dejar en las huellas de la memoria, sino consolidarla a largo plazo. </w:t>
      </w:r>
    </w:p>
    <w:p w14:paraId="110556BA" w14:textId="77777777" w:rsidR="0093626A" w:rsidRDefault="0093626A" w:rsidP="005915A7">
      <w:pPr>
        <w:spacing w:after="0" w:line="360" w:lineRule="auto"/>
        <w:ind w:firstLine="708"/>
        <w:jc w:val="both"/>
        <w:rPr>
          <w:rFonts w:ascii="Arial" w:hAnsi="Arial" w:cs="Arial"/>
          <w:sz w:val="24"/>
          <w:szCs w:val="24"/>
        </w:rPr>
      </w:pPr>
    </w:p>
    <w:p w14:paraId="14DCDD6A" w14:textId="77777777" w:rsidR="0093626A" w:rsidRDefault="00000000" w:rsidP="005915A7">
      <w:pPr>
        <w:spacing w:after="0" w:line="360" w:lineRule="auto"/>
        <w:ind w:firstLine="708"/>
        <w:jc w:val="both"/>
        <w:rPr>
          <w:rFonts w:ascii="Arial" w:eastAsia="Arial" w:hAnsi="Arial" w:cs="Arial"/>
          <w:sz w:val="24"/>
          <w:szCs w:val="24"/>
        </w:rPr>
      </w:pPr>
      <w:r>
        <w:rPr>
          <w:rFonts w:ascii="Arial" w:hAnsi="Arial" w:cs="Arial"/>
          <w:sz w:val="24"/>
          <w:szCs w:val="24"/>
        </w:rPr>
        <w:t xml:space="preserve">Por otro lado, la internacionalización es la consolidación de aspectos sociales, económicos, ambientales, socioculturales, políticos y educativos derivados de la globalización. Desde esta perspectiva el papel de las Instituciones de Educación Superior es aceptar los desafíos de la mundialización para lograr una educación sin fronteras (Díaz-Guecha, Carrillo-Guecha, Guecha-Oliveros, 2020). </w:t>
      </w:r>
      <w:r>
        <w:rPr>
          <w:rFonts w:ascii="Arial" w:eastAsia="Arial" w:hAnsi="Arial" w:cs="Arial"/>
          <w:sz w:val="24"/>
          <w:szCs w:val="24"/>
        </w:rPr>
        <w:t>A través de sus técnicas los estudiantes potencializan el rendimiento de la adquisición, codificación y recuperación, incrementando la motivación, autoestima, atención y garantizan el clima para un buen funcionamiento del sistema cognitivo. Evalúa los componentes socioafectivos dirigidos a controlar, canalizar y reducir la ansiedad, el sentimiento de incompetencia, expectativas de fracaso, autoeficacia al que los alumnos están expuestos. Las tácticas para controlar los estados psicológicos van desde la autorrelajación, autocontrol, autoinstrucciones y motivación, ya que evitan el entorpecimiento del proceso de aprendizaje, además que permiten el control de estímulos distractores mientras el alumno implementa estrategias de adquisición, codificación y recuperación.</w:t>
      </w:r>
    </w:p>
    <w:p w14:paraId="7826D5B0" w14:textId="77777777" w:rsidR="0093626A" w:rsidRDefault="0093626A" w:rsidP="005915A7">
      <w:pPr>
        <w:spacing w:after="0" w:line="360" w:lineRule="auto"/>
        <w:ind w:firstLine="708"/>
        <w:jc w:val="both"/>
        <w:rPr>
          <w:rFonts w:ascii="Arial" w:hAnsi="Arial" w:cs="Arial"/>
          <w:sz w:val="24"/>
          <w:szCs w:val="24"/>
        </w:rPr>
      </w:pPr>
    </w:p>
    <w:p w14:paraId="04E0CB42" w14:textId="77777777" w:rsidR="0093626A" w:rsidRDefault="00000000" w:rsidP="005915A7">
      <w:pPr>
        <w:spacing w:after="0" w:line="360" w:lineRule="auto"/>
        <w:ind w:firstLine="708"/>
        <w:jc w:val="both"/>
        <w:rPr>
          <w:rFonts w:ascii="Arial" w:hAnsi="Arial" w:cs="Arial"/>
          <w:sz w:val="24"/>
          <w:szCs w:val="24"/>
        </w:rPr>
      </w:pPr>
      <w:r>
        <w:rPr>
          <w:rFonts w:ascii="Arial" w:hAnsi="Arial" w:cs="Arial"/>
          <w:sz w:val="24"/>
          <w:szCs w:val="24"/>
        </w:rPr>
        <w:lastRenderedPageBreak/>
        <w:t>Entre todos estos desafíos a los que se enfrenta la educación superior, la carrera de medicina, en particular, es considerada de alto nivel de dificultad académica y representa un extenso entrenamiento y compromiso por parte del estudiante, lo que favorece a un ambiente particularmente estresante (</w:t>
      </w:r>
      <w:r>
        <w:rPr>
          <w:rFonts w:ascii="Arial" w:eastAsia="Arial" w:hAnsi="Arial" w:cs="Arial"/>
          <w:sz w:val="24"/>
          <w:szCs w:val="24"/>
        </w:rPr>
        <w:t>Collazo-2008)</w:t>
      </w:r>
      <w:r>
        <w:rPr>
          <w:rFonts w:ascii="Arial" w:hAnsi="Arial" w:cs="Arial"/>
          <w:sz w:val="24"/>
          <w:szCs w:val="24"/>
        </w:rPr>
        <w:t>. En México, a lo largo de 8 semestres, un año de internado y otro de servicio social, el alumno debe desarrollar una serie de habilidades médico-quirúrgicas, clínicas y cognitivas avanzadas que desempeñará a lo largo de su vida laboral. Este entrenamiento va enfocado además a cumplir con una serie de competencias generales para aprobar una serie de exámenes de conocimiento y prácticos que debe acreditar por el alto nivel de competitividad de la profesión (Ortiz, 2013), por lo que exige a un alumno enfocado, disciplinado y ordenado, ya que es vasto el material que debe de aprender.</w:t>
      </w:r>
    </w:p>
    <w:p w14:paraId="3EE26271" w14:textId="77777777" w:rsidR="0093626A" w:rsidRDefault="0093626A" w:rsidP="005915A7">
      <w:pPr>
        <w:spacing w:after="0" w:line="360" w:lineRule="auto"/>
        <w:ind w:firstLine="708"/>
        <w:jc w:val="both"/>
        <w:rPr>
          <w:rFonts w:ascii="Arial" w:hAnsi="Arial" w:cs="Arial"/>
          <w:sz w:val="24"/>
          <w:szCs w:val="24"/>
        </w:rPr>
      </w:pPr>
    </w:p>
    <w:p w14:paraId="0DE75D20" w14:textId="77777777" w:rsidR="0093626A" w:rsidRDefault="00000000" w:rsidP="005915A7">
      <w:pPr>
        <w:spacing w:after="0" w:line="360" w:lineRule="auto"/>
        <w:ind w:firstLine="708"/>
        <w:jc w:val="both"/>
        <w:rPr>
          <w:rFonts w:ascii="Arial" w:hAnsi="Arial" w:cs="Arial"/>
          <w:sz w:val="24"/>
          <w:szCs w:val="24"/>
        </w:rPr>
      </w:pPr>
      <w:r>
        <w:rPr>
          <w:rFonts w:ascii="Arial" w:hAnsi="Arial" w:cs="Arial"/>
          <w:sz w:val="24"/>
          <w:szCs w:val="24"/>
        </w:rPr>
        <w:t xml:space="preserve">En la Facultad de Medicina de la Universidad Autónoma de Guadalajara, la licenciatura de Médico Cirujano tiene una duración de 8 semestres: tres semestres de ciencias básicas, cinco de clínicas, un año de internado rotatorio y uno más de servicio social (UAG 2022). Particularmente el segundo semestre es extenuante, puesto que los estudiantes cursan tres materias de alto nivel de dificultad académica (Bioquímica, Inmunología y Fisiología) de manera simultánea a lo largo de 6 meses. </w:t>
      </w:r>
    </w:p>
    <w:p w14:paraId="7FEC4074" w14:textId="77777777" w:rsidR="0093626A" w:rsidRDefault="0093626A" w:rsidP="005915A7">
      <w:pPr>
        <w:spacing w:after="0" w:line="360" w:lineRule="auto"/>
        <w:ind w:firstLine="708"/>
        <w:jc w:val="both"/>
        <w:rPr>
          <w:rFonts w:ascii="Arial" w:hAnsi="Arial" w:cs="Arial"/>
          <w:sz w:val="24"/>
          <w:szCs w:val="24"/>
        </w:rPr>
      </w:pPr>
    </w:p>
    <w:p w14:paraId="2571AC4F" w14:textId="77777777" w:rsidR="0093626A" w:rsidRDefault="00000000" w:rsidP="005915A7">
      <w:pPr>
        <w:spacing w:after="0" w:line="360" w:lineRule="auto"/>
        <w:ind w:firstLine="708"/>
        <w:jc w:val="both"/>
        <w:rPr>
          <w:rFonts w:ascii="Arial" w:hAnsi="Arial" w:cs="Arial"/>
          <w:sz w:val="24"/>
          <w:szCs w:val="24"/>
        </w:rPr>
      </w:pPr>
      <w:r>
        <w:rPr>
          <w:rFonts w:ascii="Arial" w:hAnsi="Arial" w:cs="Arial"/>
          <w:sz w:val="24"/>
          <w:szCs w:val="24"/>
        </w:rPr>
        <w:t>Debido a todas estas situaciones y circunstancias, el objetivo de esta investigación fue determinar si la estrategia de apoyo socioafectivo en el aprendizaje es un factor de reforzamiento en el desempeño universitario como recurso en la educación globalizada tomando como modelo a la población estudiantil de segundo semestre de la licenciatura en Medicina perteneciente la Universidad Autónoma de Guadalajara UAG, Campus Zapopan.</w:t>
      </w:r>
    </w:p>
    <w:p w14:paraId="14EC2A71" w14:textId="77777777" w:rsidR="0093626A" w:rsidRDefault="0093626A" w:rsidP="005915A7">
      <w:pPr>
        <w:spacing w:after="0" w:line="360" w:lineRule="auto"/>
        <w:jc w:val="both"/>
        <w:rPr>
          <w:rFonts w:ascii="Arial" w:hAnsi="Arial" w:cs="Arial"/>
          <w:b/>
          <w:bCs/>
          <w:sz w:val="24"/>
          <w:szCs w:val="24"/>
        </w:rPr>
      </w:pPr>
    </w:p>
    <w:p w14:paraId="4324FF6D" w14:textId="77777777" w:rsidR="0093626A" w:rsidRDefault="00000000" w:rsidP="005915A7">
      <w:pPr>
        <w:spacing w:after="0" w:line="360" w:lineRule="auto"/>
        <w:jc w:val="both"/>
        <w:rPr>
          <w:rFonts w:ascii="Arial" w:hAnsi="Arial" w:cs="Arial"/>
          <w:b/>
          <w:bCs/>
          <w:sz w:val="24"/>
          <w:szCs w:val="24"/>
        </w:rPr>
      </w:pPr>
      <w:r>
        <w:rPr>
          <w:rFonts w:ascii="Arial" w:hAnsi="Arial" w:cs="Arial"/>
          <w:b/>
          <w:bCs/>
          <w:sz w:val="24"/>
          <w:szCs w:val="24"/>
        </w:rPr>
        <w:t>Material y métodos</w:t>
      </w:r>
    </w:p>
    <w:p w14:paraId="7D67D249" w14:textId="77777777" w:rsidR="0093626A" w:rsidRDefault="00000000" w:rsidP="005915A7">
      <w:pPr>
        <w:spacing w:after="0" w:line="360" w:lineRule="auto"/>
        <w:jc w:val="both"/>
        <w:rPr>
          <w:rFonts w:ascii="Arial" w:hAnsi="Arial" w:cs="Arial"/>
          <w:sz w:val="24"/>
          <w:szCs w:val="24"/>
        </w:rPr>
      </w:pPr>
      <w:r>
        <w:rPr>
          <w:rFonts w:ascii="Arial" w:hAnsi="Arial" w:cs="Arial"/>
          <w:sz w:val="24"/>
          <w:szCs w:val="24"/>
        </w:rPr>
        <w:t xml:space="preserve">En esta investigación se analizó la relación entre las calificaciones del examen final de la asignatura de Fisiología con la dimensión II del cuestionario ACRA abreviado para universitarios (De La Fuente y Justicia, 2017). La materia cuenta con 13 </w:t>
      </w:r>
      <w:r>
        <w:rPr>
          <w:rFonts w:ascii="Arial" w:hAnsi="Arial" w:cs="Arial"/>
          <w:sz w:val="24"/>
          <w:szCs w:val="24"/>
        </w:rPr>
        <w:lastRenderedPageBreak/>
        <w:t>créditos en el valor curricular y es la base del razonamiento clínico; su desconocimiento impide la correcta solución de casos clínicos en todo tipo de pacientes, puesto que explica la función normal del cuerpo humano, por lo que es un curso integrador. Su contenido se distribuye en 12 unidades para ser analizadas en 110 horas durante el semestre, en las que el alumno se somete a diferentes actividades académicas como de conferencia, actividades grupales o de trabajo en equipo y de laboratorio.</w:t>
      </w:r>
    </w:p>
    <w:p w14:paraId="12FB249F" w14:textId="77777777" w:rsidR="0093626A" w:rsidRDefault="0093626A" w:rsidP="005915A7">
      <w:pPr>
        <w:spacing w:after="0" w:line="360" w:lineRule="auto"/>
        <w:ind w:firstLine="708"/>
        <w:jc w:val="both"/>
        <w:rPr>
          <w:rFonts w:ascii="Arial" w:hAnsi="Arial" w:cs="Arial"/>
          <w:sz w:val="24"/>
          <w:szCs w:val="24"/>
        </w:rPr>
      </w:pPr>
    </w:p>
    <w:p w14:paraId="47B8A308" w14:textId="77777777" w:rsidR="0093626A" w:rsidRDefault="00000000" w:rsidP="005915A7">
      <w:pPr>
        <w:spacing w:after="0" w:line="360" w:lineRule="auto"/>
        <w:ind w:firstLine="708"/>
        <w:jc w:val="both"/>
        <w:rPr>
          <w:rFonts w:ascii="Arial" w:hAnsi="Arial" w:cs="Arial"/>
          <w:sz w:val="24"/>
          <w:szCs w:val="24"/>
        </w:rPr>
      </w:pPr>
      <w:r>
        <w:rPr>
          <w:rFonts w:ascii="Arial" w:hAnsi="Arial" w:cs="Arial"/>
          <w:sz w:val="24"/>
          <w:szCs w:val="24"/>
        </w:rPr>
        <w:t>El estudio se llevó a cabo en la UAG, Campus Zapopan, durante el periodo comprendido entre el 17 de enero y el 1 de diciembre del 2022. La población de estudio fueron alumnos regulares de segundo semestre de la Facultad de Medicina inscritos en la asignatura de Fisiología, siendo el universo de estudio 817 alumnos. El diseño de esta investigación fue descriptivo, de corte transversal. La muestra fue seleccionada con una técnica de muestreo probabilístico: el cálculo de la muestra se realizó con la siguiente fórmula: Tamaño de Muestra = Z2 * (p) * (1-p) / c2, tomando como referencia los siguientes valores: nivel de confianza del 95%, margen de error del 5%, y 50% de nivel de heterogeneidad. El cálculo indicó que para que el tamaño de la muestra fuera representativo debía contar con 263 sujetos. Se analizaron 472 estudiantes de ambos sexos, de edades entre los 18 a 26 años. Se consideró como criterios de inclusión que fueran alumnos regulares que en ese momento cursaran la asignatura y que su participación fuera voluntaria; los de exclusión que fueran alumnos irregulares y se negaran a participar.</w:t>
      </w:r>
    </w:p>
    <w:p w14:paraId="11533763" w14:textId="77777777" w:rsidR="0093626A" w:rsidRDefault="0093626A" w:rsidP="005915A7">
      <w:pPr>
        <w:spacing w:after="0" w:line="360" w:lineRule="auto"/>
        <w:ind w:firstLine="708"/>
        <w:jc w:val="both"/>
        <w:rPr>
          <w:rFonts w:ascii="Arial" w:hAnsi="Arial" w:cs="Arial"/>
          <w:sz w:val="24"/>
          <w:szCs w:val="24"/>
        </w:rPr>
      </w:pPr>
    </w:p>
    <w:p w14:paraId="40807D66" w14:textId="77777777" w:rsidR="0093626A" w:rsidRDefault="00000000" w:rsidP="005915A7">
      <w:pPr>
        <w:spacing w:after="0" w:line="360" w:lineRule="auto"/>
        <w:ind w:firstLine="708"/>
        <w:jc w:val="both"/>
        <w:rPr>
          <w:rFonts w:ascii="Arial" w:hAnsi="Arial" w:cs="Arial"/>
          <w:sz w:val="24"/>
          <w:szCs w:val="24"/>
        </w:rPr>
      </w:pPr>
      <w:r>
        <w:rPr>
          <w:rFonts w:ascii="Arial" w:hAnsi="Arial" w:cs="Arial"/>
          <w:sz w:val="24"/>
          <w:szCs w:val="24"/>
        </w:rPr>
        <w:t xml:space="preserve">Se codificó una base de datos considerando como variable dependiente la calificación del examen final de la asignatura, el cual se compone de 33 preguntas de opción múltiple, de ellas, 4 de análisis, 7 de comprensión y 22 de memoria, alusivas a las unidades de digestivo, renal, respiratorio y equilibrio ácido base, los cuales son temas en donde se integra la información analizada a lo largo del periodo académico. Como variables independientes se seleccionaron los factores motivación, control de ansiedad, condiciones contradistractorias, apoyo social y horario y plan de trabajo, referidos al apoyo del procesamiento de la información </w:t>
      </w:r>
      <w:r>
        <w:rPr>
          <w:rFonts w:ascii="Arial" w:hAnsi="Arial" w:cs="Arial"/>
          <w:sz w:val="24"/>
          <w:szCs w:val="24"/>
        </w:rPr>
        <w:lastRenderedPageBreak/>
        <w:t>adquirida de la dimensión II de estrategias de apoyo al aprendizaje de la escala de estrategias de aprendizaje ACRA-Abreviada para alumnos universitarios elaborada por De La Fuente y Justicia del departamento de Psicología en la Universidad de Almería, España en 2017.</w:t>
      </w:r>
    </w:p>
    <w:p w14:paraId="1C5780E2" w14:textId="77777777" w:rsidR="0093626A" w:rsidRDefault="0093626A" w:rsidP="005915A7">
      <w:pPr>
        <w:spacing w:after="0" w:line="360" w:lineRule="auto"/>
        <w:ind w:firstLine="708"/>
        <w:jc w:val="both"/>
        <w:rPr>
          <w:rFonts w:ascii="Arial" w:hAnsi="Arial" w:cs="Arial"/>
          <w:sz w:val="24"/>
          <w:szCs w:val="24"/>
        </w:rPr>
      </w:pPr>
    </w:p>
    <w:p w14:paraId="63F814DF" w14:textId="77777777" w:rsidR="0093626A" w:rsidRDefault="00000000" w:rsidP="005915A7">
      <w:pPr>
        <w:spacing w:after="0" w:line="360" w:lineRule="auto"/>
        <w:ind w:firstLine="708"/>
        <w:jc w:val="both"/>
        <w:rPr>
          <w:rFonts w:ascii="Arial" w:hAnsi="Arial" w:cs="Arial"/>
          <w:sz w:val="24"/>
          <w:szCs w:val="24"/>
        </w:rPr>
      </w:pPr>
      <w:r>
        <w:rPr>
          <w:rFonts w:ascii="Arial" w:hAnsi="Arial" w:cs="Arial"/>
          <w:sz w:val="24"/>
          <w:szCs w:val="24"/>
        </w:rPr>
        <w:t>Los procesos para comenzar a recabar la base de datos dieron inicio una vez que el proyecto fue aprobado por la Dirección Académica de Aparatos y Sistemas II y presentado a las autoridades universitarias correspondientes del decanato y directivos en ciencias de la salud, posteriormente se expuso al núcleo de investigación e innovación educativa para su aprobación y registro. Durante junta de cuerpo colegiado se solicitó a los profesores de asignatura que aprobaran la aplicación del inventario durante su sesión de clase, al obtener una respuesta afirmativa, se seleccionó la actividad de laboratorio de acuerdo con la calendarización de cada grupo, el tiempo para contestar la encuesta osciló entre 10 a 15 minutos. Para evitar sesgos, se solicitó un pasante a la dirección de la materia para asegurar obtener información fidedigna.</w:t>
      </w:r>
    </w:p>
    <w:p w14:paraId="3F45A6BF" w14:textId="77777777" w:rsidR="0093626A" w:rsidRDefault="0093626A" w:rsidP="00634580">
      <w:pPr>
        <w:spacing w:after="0" w:line="360" w:lineRule="auto"/>
        <w:ind w:firstLine="708"/>
        <w:jc w:val="both"/>
        <w:rPr>
          <w:rFonts w:ascii="Arial" w:hAnsi="Arial" w:cs="Arial"/>
          <w:sz w:val="24"/>
          <w:szCs w:val="24"/>
        </w:rPr>
      </w:pPr>
    </w:p>
    <w:p w14:paraId="6E1AD143" w14:textId="77777777" w:rsidR="0093626A" w:rsidRDefault="00000000" w:rsidP="00634580">
      <w:pPr>
        <w:spacing w:after="0" w:line="360" w:lineRule="auto"/>
        <w:ind w:firstLine="708"/>
        <w:jc w:val="both"/>
        <w:rPr>
          <w:rFonts w:ascii="Arial" w:hAnsi="Arial" w:cs="Arial"/>
          <w:sz w:val="24"/>
          <w:szCs w:val="24"/>
        </w:rPr>
      </w:pPr>
      <w:r>
        <w:rPr>
          <w:rFonts w:ascii="Arial" w:hAnsi="Arial" w:cs="Arial"/>
          <w:sz w:val="24"/>
          <w:szCs w:val="24"/>
        </w:rPr>
        <w:t xml:space="preserve">La batería de estrategias ACRA abreviada para estudiantes universitarios (De La Fuente Arias y Justicia, 2017) surge a raíz del análisis del inventario original llamado Estrategias de aprendizaje ACRA diseñado por Román y </w:t>
      </w:r>
      <w:bookmarkStart w:id="3" w:name="_Int_tvfzNBEq"/>
      <w:r>
        <w:rPr>
          <w:rFonts w:ascii="Arial" w:hAnsi="Arial" w:cs="Arial"/>
          <w:sz w:val="24"/>
          <w:szCs w:val="24"/>
        </w:rPr>
        <w:t>Gallego</w:t>
      </w:r>
      <w:bookmarkEnd w:id="3"/>
      <w:r>
        <w:rPr>
          <w:rFonts w:ascii="Arial" w:hAnsi="Arial" w:cs="Arial"/>
          <w:sz w:val="24"/>
          <w:szCs w:val="24"/>
        </w:rPr>
        <w:t xml:space="preserve"> en 1994. El cuestionario es el acrónimo de adquisición, codificación, recuperación y apoyo; evalúa el grado en el que el alumno posee y aplica las fases del procesamiento de la información; analiza las estrategias cognitivas de aprendizaje como secuencias integradas de actividades mentales que se activan con el propósito de facilitar la adquisición, almacenamiento de la información por medio de la selección, retención, organización e integración de los nuevos conocimientos. De La Fuente Arias y Justicia (2017) adaptaron el instrumento original y elaboraron otro abreviado, específico para población universitaria, después de un análisis factorial exploratorio con una rotación factorial Varimax redujeron la cantidad de ítems, y analizaron las correlaciones entre los factores de la matriz factorial rotada de primer orden, y la confirmaron en una de segundo orden, calcularon el coeficiente de fiabilidad Alpha </w:t>
      </w:r>
      <w:r>
        <w:rPr>
          <w:rFonts w:ascii="Arial" w:hAnsi="Arial" w:cs="Arial"/>
          <w:sz w:val="24"/>
          <w:szCs w:val="24"/>
        </w:rPr>
        <w:lastRenderedPageBreak/>
        <w:t xml:space="preserve">de Cronbach, para el instrumento en su conjunto y sus subescalas con una alfa de .8828 lo cual confirmó la fiabilidad del </w:t>
      </w:r>
      <w:bookmarkStart w:id="4" w:name="_Int_InFFQLzw"/>
      <w:r>
        <w:rPr>
          <w:rFonts w:ascii="Arial" w:hAnsi="Arial" w:cs="Arial"/>
          <w:sz w:val="24"/>
          <w:szCs w:val="24"/>
        </w:rPr>
        <w:t>constructo</w:t>
      </w:r>
      <w:bookmarkEnd w:id="4"/>
      <w:r>
        <w:rPr>
          <w:rFonts w:ascii="Arial" w:hAnsi="Arial" w:cs="Arial"/>
          <w:sz w:val="24"/>
          <w:szCs w:val="24"/>
        </w:rPr>
        <w:t xml:space="preserve"> y encontraron una agrupación factorial consistente y simplificada en tres factores que a su vez incorporan distintas subescalas como se presentan en la tabla 1:</w:t>
      </w:r>
    </w:p>
    <w:p w14:paraId="15DAFC6A" w14:textId="77777777" w:rsidR="0093626A" w:rsidRDefault="0093626A" w:rsidP="005915A7">
      <w:pPr>
        <w:spacing w:after="0" w:line="360" w:lineRule="auto"/>
        <w:jc w:val="both"/>
        <w:rPr>
          <w:rFonts w:ascii="Arial" w:hAnsi="Arial" w:cs="Arial"/>
          <w:b/>
          <w:bCs/>
          <w:sz w:val="24"/>
          <w:szCs w:val="24"/>
        </w:rPr>
      </w:pPr>
    </w:p>
    <w:p w14:paraId="0D1238C4" w14:textId="77777777" w:rsidR="0093626A" w:rsidRDefault="00000000" w:rsidP="005915A7">
      <w:pPr>
        <w:spacing w:after="0" w:line="360" w:lineRule="auto"/>
        <w:jc w:val="both"/>
        <w:rPr>
          <w:rFonts w:ascii="Arial" w:hAnsi="Arial" w:cs="Arial"/>
          <w:b/>
          <w:bCs/>
          <w:sz w:val="24"/>
          <w:szCs w:val="24"/>
        </w:rPr>
      </w:pPr>
      <w:r>
        <w:rPr>
          <w:rFonts w:ascii="Arial" w:hAnsi="Arial" w:cs="Arial"/>
          <w:b/>
          <w:bCs/>
          <w:sz w:val="24"/>
          <w:szCs w:val="24"/>
        </w:rPr>
        <w:t xml:space="preserve">Tabla 1   </w:t>
      </w:r>
    </w:p>
    <w:p w14:paraId="0F186AE8" w14:textId="77777777" w:rsidR="0093626A" w:rsidRDefault="00000000" w:rsidP="005915A7">
      <w:pPr>
        <w:spacing w:after="0" w:line="360" w:lineRule="auto"/>
        <w:jc w:val="both"/>
        <w:rPr>
          <w:rFonts w:ascii="Arial" w:hAnsi="Arial" w:cs="Arial"/>
          <w:i/>
          <w:iCs/>
          <w:sz w:val="24"/>
          <w:szCs w:val="24"/>
        </w:rPr>
      </w:pPr>
      <w:r>
        <w:rPr>
          <w:rStyle w:val="normaltextrun"/>
          <w:rFonts w:ascii="Arial" w:hAnsi="Arial" w:cs="Arial"/>
          <w:i/>
          <w:iCs/>
          <w:color w:val="000000"/>
          <w:sz w:val="24"/>
          <w:szCs w:val="24"/>
          <w:shd w:val="clear" w:color="auto" w:fill="FFFFFF"/>
        </w:rPr>
        <w:t>Estructura factorial obtenida en el análisis factorial exploratorio de segundo orden</w:t>
      </w:r>
    </w:p>
    <w:tbl>
      <w:tblPr>
        <w:tblStyle w:val="Tablaconcuadrcula"/>
        <w:tblW w:w="8931" w:type="dxa"/>
        <w:tblLook w:val="04A0" w:firstRow="1" w:lastRow="0" w:firstColumn="1" w:lastColumn="0" w:noHBand="0" w:noVBand="1"/>
      </w:tblPr>
      <w:tblGrid>
        <w:gridCol w:w="1457"/>
        <w:gridCol w:w="1470"/>
        <w:gridCol w:w="1190"/>
        <w:gridCol w:w="950"/>
        <w:gridCol w:w="1457"/>
        <w:gridCol w:w="1737"/>
        <w:gridCol w:w="1644"/>
      </w:tblGrid>
      <w:tr w:rsidR="0093626A" w14:paraId="7E9E349D" w14:textId="77777777">
        <w:trPr>
          <w:trHeight w:val="553"/>
        </w:trPr>
        <w:tc>
          <w:tcPr>
            <w:tcW w:w="1251" w:type="dxa"/>
            <w:tcBorders>
              <w:left w:val="nil"/>
              <w:right w:val="nil"/>
            </w:tcBorders>
            <w:shd w:val="clear" w:color="auto" w:fill="F2F2F2" w:themeFill="background1" w:themeFillShade="F2"/>
            <w:vAlign w:val="center"/>
          </w:tcPr>
          <w:p w14:paraId="36CA067F" w14:textId="77777777" w:rsidR="0093626A" w:rsidRPr="00634580" w:rsidRDefault="00000000" w:rsidP="00634580">
            <w:pPr>
              <w:spacing w:after="0" w:line="360" w:lineRule="auto"/>
              <w:jc w:val="center"/>
              <w:rPr>
                <w:rFonts w:ascii="Arial" w:hAnsi="Arial" w:cs="Arial"/>
                <w:b/>
                <w:bCs/>
                <w:sz w:val="24"/>
                <w:szCs w:val="24"/>
              </w:rPr>
            </w:pPr>
            <w:r w:rsidRPr="00634580">
              <w:rPr>
                <w:rFonts w:ascii="Arial" w:hAnsi="Arial" w:cs="Arial"/>
                <w:b/>
                <w:bCs/>
                <w:sz w:val="24"/>
                <w:szCs w:val="24"/>
              </w:rPr>
              <w:t>Dimensión explicada</w:t>
            </w:r>
          </w:p>
        </w:tc>
        <w:tc>
          <w:tcPr>
            <w:tcW w:w="1261" w:type="dxa"/>
            <w:tcBorders>
              <w:left w:val="nil"/>
              <w:right w:val="nil"/>
            </w:tcBorders>
            <w:shd w:val="clear" w:color="auto" w:fill="F2F2F2" w:themeFill="background1" w:themeFillShade="F2"/>
            <w:vAlign w:val="center"/>
          </w:tcPr>
          <w:p w14:paraId="7F680329" w14:textId="77777777" w:rsidR="0093626A" w:rsidRPr="00634580" w:rsidRDefault="00000000" w:rsidP="00634580">
            <w:pPr>
              <w:spacing w:after="0" w:line="360" w:lineRule="auto"/>
              <w:jc w:val="center"/>
              <w:rPr>
                <w:rFonts w:ascii="Arial" w:hAnsi="Arial" w:cs="Arial"/>
                <w:b/>
                <w:bCs/>
                <w:sz w:val="24"/>
                <w:szCs w:val="24"/>
              </w:rPr>
            </w:pPr>
            <w:r w:rsidRPr="00634580">
              <w:rPr>
                <w:rFonts w:ascii="Arial" w:hAnsi="Arial" w:cs="Arial"/>
                <w:b/>
                <w:bCs/>
                <w:sz w:val="24"/>
                <w:szCs w:val="24"/>
              </w:rPr>
              <w:t>Varianza acumulada</w:t>
            </w:r>
          </w:p>
        </w:tc>
        <w:tc>
          <w:tcPr>
            <w:tcW w:w="1028" w:type="dxa"/>
            <w:tcBorders>
              <w:left w:val="nil"/>
              <w:right w:val="nil"/>
            </w:tcBorders>
            <w:shd w:val="clear" w:color="auto" w:fill="F2F2F2" w:themeFill="background1" w:themeFillShade="F2"/>
            <w:vAlign w:val="center"/>
          </w:tcPr>
          <w:p w14:paraId="544E319B" w14:textId="77777777" w:rsidR="0093626A" w:rsidRPr="00634580" w:rsidRDefault="00000000" w:rsidP="00634580">
            <w:pPr>
              <w:spacing w:after="0" w:line="360" w:lineRule="auto"/>
              <w:jc w:val="center"/>
              <w:rPr>
                <w:rFonts w:ascii="Arial" w:hAnsi="Arial" w:cs="Arial"/>
                <w:b/>
                <w:bCs/>
                <w:sz w:val="24"/>
                <w:szCs w:val="24"/>
              </w:rPr>
            </w:pPr>
            <w:r w:rsidRPr="00634580">
              <w:rPr>
                <w:rFonts w:ascii="Arial" w:hAnsi="Arial" w:cs="Arial"/>
                <w:b/>
                <w:bCs/>
                <w:sz w:val="24"/>
                <w:szCs w:val="24"/>
              </w:rPr>
              <w:t>Varianza</w:t>
            </w:r>
          </w:p>
        </w:tc>
        <w:tc>
          <w:tcPr>
            <w:tcW w:w="828" w:type="dxa"/>
            <w:tcBorders>
              <w:left w:val="nil"/>
              <w:right w:val="nil"/>
            </w:tcBorders>
            <w:shd w:val="clear" w:color="auto" w:fill="F2F2F2" w:themeFill="background1" w:themeFillShade="F2"/>
            <w:vAlign w:val="center"/>
          </w:tcPr>
          <w:p w14:paraId="56D1EEEF" w14:textId="77777777" w:rsidR="0093626A" w:rsidRPr="00634580" w:rsidRDefault="00000000" w:rsidP="00634580">
            <w:pPr>
              <w:spacing w:after="0" w:line="360" w:lineRule="auto"/>
              <w:jc w:val="center"/>
              <w:rPr>
                <w:rFonts w:ascii="Arial" w:hAnsi="Arial" w:cs="Arial"/>
                <w:b/>
                <w:bCs/>
                <w:sz w:val="24"/>
                <w:szCs w:val="24"/>
              </w:rPr>
            </w:pPr>
            <w:r w:rsidRPr="00634580">
              <w:rPr>
                <w:rFonts w:ascii="Arial" w:hAnsi="Arial" w:cs="Arial"/>
                <w:b/>
                <w:bCs/>
                <w:sz w:val="24"/>
                <w:szCs w:val="24"/>
              </w:rPr>
              <w:t>Factor</w:t>
            </w:r>
          </w:p>
        </w:tc>
        <w:tc>
          <w:tcPr>
            <w:tcW w:w="1250" w:type="dxa"/>
            <w:tcBorders>
              <w:left w:val="nil"/>
              <w:right w:val="nil"/>
            </w:tcBorders>
            <w:shd w:val="clear" w:color="auto" w:fill="F2F2F2" w:themeFill="background1" w:themeFillShade="F2"/>
            <w:vAlign w:val="center"/>
          </w:tcPr>
          <w:p w14:paraId="4EC828AE" w14:textId="77777777" w:rsidR="0093626A" w:rsidRPr="00634580" w:rsidRDefault="00000000" w:rsidP="00634580">
            <w:pPr>
              <w:spacing w:after="0" w:line="360" w:lineRule="auto"/>
              <w:jc w:val="center"/>
              <w:rPr>
                <w:rFonts w:ascii="Arial" w:hAnsi="Arial" w:cs="Arial"/>
                <w:b/>
                <w:bCs/>
                <w:sz w:val="24"/>
                <w:szCs w:val="24"/>
              </w:rPr>
            </w:pPr>
            <w:r w:rsidRPr="00634580">
              <w:rPr>
                <w:rFonts w:ascii="Arial" w:hAnsi="Arial" w:cs="Arial"/>
                <w:b/>
                <w:bCs/>
                <w:sz w:val="24"/>
                <w:szCs w:val="24"/>
              </w:rPr>
              <w:t>Saturación</w:t>
            </w:r>
          </w:p>
        </w:tc>
        <w:tc>
          <w:tcPr>
            <w:tcW w:w="1483" w:type="dxa"/>
            <w:tcBorders>
              <w:left w:val="nil"/>
              <w:right w:val="nil"/>
            </w:tcBorders>
            <w:shd w:val="clear" w:color="auto" w:fill="F2F2F2" w:themeFill="background1" w:themeFillShade="F2"/>
            <w:vAlign w:val="center"/>
          </w:tcPr>
          <w:p w14:paraId="6FCD7D97" w14:textId="77777777" w:rsidR="0093626A" w:rsidRPr="00634580" w:rsidRDefault="00000000" w:rsidP="00634580">
            <w:pPr>
              <w:spacing w:after="0" w:line="360" w:lineRule="auto"/>
              <w:jc w:val="center"/>
              <w:rPr>
                <w:rFonts w:ascii="Arial" w:hAnsi="Arial" w:cs="Arial"/>
                <w:b/>
                <w:bCs/>
                <w:sz w:val="24"/>
                <w:szCs w:val="24"/>
              </w:rPr>
            </w:pPr>
            <w:r w:rsidRPr="00634580">
              <w:rPr>
                <w:rFonts w:ascii="Arial" w:hAnsi="Arial" w:cs="Arial"/>
                <w:b/>
                <w:bCs/>
                <w:sz w:val="24"/>
                <w:szCs w:val="24"/>
              </w:rPr>
              <w:t>Comunalidad</w:t>
            </w:r>
          </w:p>
        </w:tc>
        <w:tc>
          <w:tcPr>
            <w:tcW w:w="1830" w:type="dxa"/>
            <w:tcBorders>
              <w:left w:val="nil"/>
              <w:right w:val="nil"/>
            </w:tcBorders>
            <w:shd w:val="clear" w:color="auto" w:fill="F2F2F2" w:themeFill="background1" w:themeFillShade="F2"/>
            <w:vAlign w:val="center"/>
          </w:tcPr>
          <w:p w14:paraId="3957F6A7" w14:textId="77777777" w:rsidR="0093626A" w:rsidRPr="00634580" w:rsidRDefault="00000000" w:rsidP="00634580">
            <w:pPr>
              <w:spacing w:after="0" w:line="360" w:lineRule="auto"/>
              <w:jc w:val="center"/>
              <w:rPr>
                <w:rFonts w:ascii="Arial" w:hAnsi="Arial" w:cs="Arial"/>
                <w:b/>
                <w:bCs/>
                <w:sz w:val="24"/>
                <w:szCs w:val="24"/>
              </w:rPr>
            </w:pPr>
            <w:r w:rsidRPr="00634580">
              <w:rPr>
                <w:rFonts w:ascii="Arial" w:hAnsi="Arial" w:cs="Arial"/>
                <w:b/>
                <w:bCs/>
                <w:sz w:val="24"/>
                <w:szCs w:val="24"/>
              </w:rPr>
              <w:t>Descripción</w:t>
            </w:r>
          </w:p>
        </w:tc>
      </w:tr>
      <w:tr w:rsidR="0093626A" w14:paraId="74445C8A" w14:textId="77777777">
        <w:tc>
          <w:tcPr>
            <w:tcW w:w="1251" w:type="dxa"/>
            <w:tcBorders>
              <w:left w:val="nil"/>
              <w:bottom w:val="single" w:sz="4" w:space="0" w:color="auto"/>
              <w:right w:val="nil"/>
            </w:tcBorders>
          </w:tcPr>
          <w:p w14:paraId="165563F9" w14:textId="77777777" w:rsidR="0093626A" w:rsidRPr="00634580" w:rsidRDefault="00000000" w:rsidP="00634580">
            <w:pPr>
              <w:spacing w:after="0" w:line="360" w:lineRule="auto"/>
              <w:rPr>
                <w:rFonts w:ascii="Arial" w:hAnsi="Arial" w:cs="Arial"/>
                <w:sz w:val="24"/>
                <w:szCs w:val="24"/>
              </w:rPr>
            </w:pPr>
            <w:r w:rsidRPr="00634580">
              <w:rPr>
                <w:rFonts w:ascii="Arial" w:hAnsi="Arial" w:cs="Arial"/>
                <w:sz w:val="24"/>
                <w:szCs w:val="24"/>
              </w:rPr>
              <w:t>I. Estrategias cognitivas y de control</w:t>
            </w:r>
          </w:p>
        </w:tc>
        <w:tc>
          <w:tcPr>
            <w:tcW w:w="1261" w:type="dxa"/>
            <w:tcBorders>
              <w:left w:val="nil"/>
              <w:bottom w:val="single" w:sz="4" w:space="0" w:color="auto"/>
              <w:right w:val="nil"/>
            </w:tcBorders>
          </w:tcPr>
          <w:p w14:paraId="64E90186" w14:textId="77777777" w:rsidR="0093626A" w:rsidRPr="00634580" w:rsidRDefault="00000000" w:rsidP="00634580">
            <w:pPr>
              <w:spacing w:after="0" w:line="360" w:lineRule="auto"/>
              <w:jc w:val="center"/>
              <w:rPr>
                <w:rFonts w:ascii="Arial" w:hAnsi="Arial" w:cs="Arial"/>
                <w:sz w:val="24"/>
                <w:szCs w:val="24"/>
              </w:rPr>
            </w:pPr>
            <w:r w:rsidRPr="00634580">
              <w:rPr>
                <w:rFonts w:ascii="Arial" w:hAnsi="Arial" w:cs="Arial"/>
                <w:sz w:val="24"/>
                <w:szCs w:val="24"/>
              </w:rPr>
              <w:t>26.6</w:t>
            </w:r>
          </w:p>
        </w:tc>
        <w:tc>
          <w:tcPr>
            <w:tcW w:w="1028" w:type="dxa"/>
            <w:tcBorders>
              <w:left w:val="nil"/>
              <w:bottom w:val="single" w:sz="4" w:space="0" w:color="auto"/>
              <w:right w:val="nil"/>
            </w:tcBorders>
          </w:tcPr>
          <w:p w14:paraId="59EC691D" w14:textId="77777777" w:rsidR="0093626A" w:rsidRPr="00634580" w:rsidRDefault="00000000" w:rsidP="00634580">
            <w:pPr>
              <w:spacing w:after="0" w:line="360" w:lineRule="auto"/>
              <w:jc w:val="center"/>
              <w:rPr>
                <w:rFonts w:ascii="Arial" w:hAnsi="Arial" w:cs="Arial"/>
                <w:sz w:val="24"/>
                <w:szCs w:val="24"/>
              </w:rPr>
            </w:pPr>
            <w:r w:rsidRPr="00634580">
              <w:rPr>
                <w:rFonts w:ascii="Arial" w:hAnsi="Arial" w:cs="Arial"/>
                <w:sz w:val="24"/>
                <w:szCs w:val="24"/>
              </w:rPr>
              <w:t>1626.6</w:t>
            </w:r>
          </w:p>
        </w:tc>
        <w:tc>
          <w:tcPr>
            <w:tcW w:w="828" w:type="dxa"/>
            <w:tcBorders>
              <w:left w:val="nil"/>
              <w:bottom w:val="single" w:sz="4" w:space="0" w:color="auto"/>
              <w:right w:val="nil"/>
            </w:tcBorders>
          </w:tcPr>
          <w:p w14:paraId="5D896BE7" w14:textId="77777777" w:rsidR="0093626A" w:rsidRPr="00634580" w:rsidRDefault="00000000" w:rsidP="00634580">
            <w:pPr>
              <w:spacing w:after="0" w:line="360" w:lineRule="auto"/>
              <w:jc w:val="center"/>
              <w:rPr>
                <w:rFonts w:ascii="Arial" w:hAnsi="Arial" w:cs="Arial"/>
                <w:sz w:val="24"/>
                <w:szCs w:val="24"/>
                <w:lang w:val="en-US"/>
              </w:rPr>
            </w:pPr>
            <w:r w:rsidRPr="00634580">
              <w:rPr>
                <w:rFonts w:ascii="Arial" w:hAnsi="Arial" w:cs="Arial"/>
                <w:sz w:val="24"/>
                <w:szCs w:val="24"/>
                <w:lang w:val="en-US"/>
              </w:rPr>
              <w:t>I</w:t>
            </w:r>
          </w:p>
          <w:p w14:paraId="7BFD6C1C" w14:textId="77777777" w:rsidR="0093626A" w:rsidRPr="00634580" w:rsidRDefault="00000000" w:rsidP="00634580">
            <w:pPr>
              <w:spacing w:after="0" w:line="360" w:lineRule="auto"/>
              <w:jc w:val="center"/>
              <w:rPr>
                <w:rFonts w:ascii="Arial" w:hAnsi="Arial" w:cs="Arial"/>
                <w:sz w:val="24"/>
                <w:szCs w:val="24"/>
                <w:lang w:val="en-US"/>
              </w:rPr>
            </w:pPr>
            <w:r w:rsidRPr="00634580">
              <w:rPr>
                <w:rFonts w:ascii="Arial" w:hAnsi="Arial" w:cs="Arial"/>
                <w:sz w:val="24"/>
                <w:szCs w:val="24"/>
                <w:lang w:val="en-US"/>
              </w:rPr>
              <w:t>VII</w:t>
            </w:r>
          </w:p>
          <w:p w14:paraId="44295D4A" w14:textId="77777777" w:rsidR="0093626A" w:rsidRPr="00634580" w:rsidRDefault="00000000" w:rsidP="00634580">
            <w:pPr>
              <w:spacing w:after="0" w:line="360" w:lineRule="auto"/>
              <w:jc w:val="center"/>
              <w:rPr>
                <w:rFonts w:ascii="Arial" w:hAnsi="Arial" w:cs="Arial"/>
                <w:sz w:val="24"/>
                <w:szCs w:val="24"/>
                <w:lang w:val="en-US"/>
              </w:rPr>
            </w:pPr>
            <w:r w:rsidRPr="00634580">
              <w:rPr>
                <w:rFonts w:ascii="Arial" w:hAnsi="Arial" w:cs="Arial"/>
                <w:sz w:val="24"/>
                <w:szCs w:val="24"/>
                <w:lang w:val="en-US"/>
              </w:rPr>
              <w:t>II</w:t>
            </w:r>
          </w:p>
          <w:p w14:paraId="01ECC81D" w14:textId="77777777" w:rsidR="0093626A" w:rsidRPr="00634580" w:rsidRDefault="00000000" w:rsidP="00634580">
            <w:pPr>
              <w:spacing w:after="0" w:line="360" w:lineRule="auto"/>
              <w:jc w:val="center"/>
              <w:rPr>
                <w:rFonts w:ascii="Arial" w:hAnsi="Arial" w:cs="Arial"/>
                <w:sz w:val="24"/>
                <w:szCs w:val="24"/>
                <w:lang w:val="en-US"/>
              </w:rPr>
            </w:pPr>
            <w:r w:rsidRPr="00634580">
              <w:rPr>
                <w:rFonts w:ascii="Arial" w:hAnsi="Arial" w:cs="Arial"/>
                <w:sz w:val="24"/>
                <w:szCs w:val="24"/>
                <w:lang w:val="en-US"/>
              </w:rPr>
              <w:t>III</w:t>
            </w:r>
          </w:p>
          <w:p w14:paraId="73C5A70C" w14:textId="77777777" w:rsidR="0093626A" w:rsidRPr="00634580" w:rsidRDefault="00000000" w:rsidP="00634580">
            <w:pPr>
              <w:spacing w:after="0" w:line="360" w:lineRule="auto"/>
              <w:jc w:val="center"/>
              <w:rPr>
                <w:rFonts w:ascii="Arial" w:hAnsi="Arial" w:cs="Arial"/>
                <w:sz w:val="24"/>
                <w:szCs w:val="24"/>
                <w:lang w:val="en-US"/>
              </w:rPr>
            </w:pPr>
            <w:r w:rsidRPr="00634580">
              <w:rPr>
                <w:rFonts w:ascii="Arial" w:hAnsi="Arial" w:cs="Arial"/>
                <w:sz w:val="24"/>
                <w:szCs w:val="24"/>
                <w:lang w:val="en-US"/>
              </w:rPr>
              <w:t>V</w:t>
            </w:r>
          </w:p>
          <w:p w14:paraId="00A65F24" w14:textId="77777777" w:rsidR="0093626A" w:rsidRPr="00634580" w:rsidRDefault="00000000" w:rsidP="00634580">
            <w:pPr>
              <w:spacing w:after="0" w:line="360" w:lineRule="auto"/>
              <w:jc w:val="center"/>
              <w:rPr>
                <w:rFonts w:ascii="Arial" w:hAnsi="Arial" w:cs="Arial"/>
                <w:sz w:val="24"/>
                <w:szCs w:val="24"/>
                <w:lang w:val="en-US"/>
              </w:rPr>
            </w:pPr>
            <w:r w:rsidRPr="00634580">
              <w:rPr>
                <w:rFonts w:ascii="Arial" w:hAnsi="Arial" w:cs="Arial"/>
                <w:sz w:val="24"/>
                <w:szCs w:val="24"/>
                <w:lang w:val="en-US"/>
              </w:rPr>
              <w:t>IX</w:t>
            </w:r>
          </w:p>
        </w:tc>
        <w:tc>
          <w:tcPr>
            <w:tcW w:w="1250" w:type="dxa"/>
            <w:tcBorders>
              <w:left w:val="nil"/>
              <w:bottom w:val="single" w:sz="4" w:space="0" w:color="auto"/>
              <w:right w:val="nil"/>
            </w:tcBorders>
          </w:tcPr>
          <w:p w14:paraId="099CA227" w14:textId="77777777" w:rsidR="0093626A" w:rsidRPr="00634580" w:rsidRDefault="00000000" w:rsidP="00634580">
            <w:pPr>
              <w:spacing w:after="0" w:line="360" w:lineRule="auto"/>
              <w:jc w:val="center"/>
              <w:rPr>
                <w:rFonts w:ascii="Arial" w:hAnsi="Arial" w:cs="Arial"/>
                <w:sz w:val="24"/>
                <w:szCs w:val="24"/>
              </w:rPr>
            </w:pPr>
            <w:r w:rsidRPr="00634580">
              <w:rPr>
                <w:rFonts w:ascii="Arial" w:hAnsi="Arial" w:cs="Arial"/>
                <w:sz w:val="24"/>
                <w:szCs w:val="24"/>
              </w:rPr>
              <w:t>.7658</w:t>
            </w:r>
          </w:p>
          <w:p w14:paraId="59055CE1" w14:textId="77777777" w:rsidR="0093626A" w:rsidRPr="00634580" w:rsidRDefault="00000000" w:rsidP="00634580">
            <w:pPr>
              <w:spacing w:after="0" w:line="360" w:lineRule="auto"/>
              <w:jc w:val="center"/>
              <w:rPr>
                <w:rFonts w:ascii="Arial" w:hAnsi="Arial" w:cs="Arial"/>
                <w:sz w:val="24"/>
                <w:szCs w:val="24"/>
              </w:rPr>
            </w:pPr>
            <w:r w:rsidRPr="00634580">
              <w:rPr>
                <w:rFonts w:ascii="Arial" w:hAnsi="Arial" w:cs="Arial"/>
                <w:sz w:val="24"/>
                <w:szCs w:val="24"/>
              </w:rPr>
              <w:t>.7089</w:t>
            </w:r>
          </w:p>
          <w:p w14:paraId="3DC8F73F" w14:textId="77777777" w:rsidR="0093626A" w:rsidRPr="00634580" w:rsidRDefault="00000000" w:rsidP="00634580">
            <w:pPr>
              <w:spacing w:after="0" w:line="360" w:lineRule="auto"/>
              <w:jc w:val="center"/>
              <w:rPr>
                <w:rFonts w:ascii="Arial" w:hAnsi="Arial" w:cs="Arial"/>
                <w:sz w:val="24"/>
                <w:szCs w:val="24"/>
              </w:rPr>
            </w:pPr>
            <w:r w:rsidRPr="00634580">
              <w:rPr>
                <w:rFonts w:ascii="Arial" w:hAnsi="Arial" w:cs="Arial"/>
                <w:sz w:val="24"/>
                <w:szCs w:val="24"/>
              </w:rPr>
              <w:t>.6750</w:t>
            </w:r>
          </w:p>
          <w:p w14:paraId="61C20367" w14:textId="77777777" w:rsidR="0093626A" w:rsidRPr="00634580" w:rsidRDefault="00000000" w:rsidP="00634580">
            <w:pPr>
              <w:spacing w:after="0" w:line="360" w:lineRule="auto"/>
              <w:jc w:val="center"/>
              <w:rPr>
                <w:rFonts w:ascii="Arial" w:hAnsi="Arial" w:cs="Arial"/>
                <w:sz w:val="24"/>
                <w:szCs w:val="24"/>
              </w:rPr>
            </w:pPr>
            <w:r w:rsidRPr="00634580">
              <w:rPr>
                <w:rFonts w:ascii="Arial" w:hAnsi="Arial" w:cs="Arial"/>
                <w:sz w:val="24"/>
                <w:szCs w:val="24"/>
              </w:rPr>
              <w:t>.5545</w:t>
            </w:r>
          </w:p>
          <w:p w14:paraId="6B096640" w14:textId="77777777" w:rsidR="0093626A" w:rsidRPr="00634580" w:rsidRDefault="00000000" w:rsidP="00634580">
            <w:pPr>
              <w:spacing w:after="0" w:line="360" w:lineRule="auto"/>
              <w:jc w:val="center"/>
              <w:rPr>
                <w:rFonts w:ascii="Arial" w:hAnsi="Arial" w:cs="Arial"/>
                <w:sz w:val="24"/>
                <w:szCs w:val="24"/>
              </w:rPr>
            </w:pPr>
            <w:r w:rsidRPr="00634580">
              <w:rPr>
                <w:rFonts w:ascii="Arial" w:hAnsi="Arial" w:cs="Arial"/>
                <w:sz w:val="24"/>
                <w:szCs w:val="24"/>
              </w:rPr>
              <w:t>.4083</w:t>
            </w:r>
          </w:p>
          <w:p w14:paraId="62A48B4D" w14:textId="77777777" w:rsidR="0093626A" w:rsidRPr="00634580" w:rsidRDefault="00000000" w:rsidP="00634580">
            <w:pPr>
              <w:spacing w:after="0" w:line="360" w:lineRule="auto"/>
              <w:jc w:val="center"/>
              <w:rPr>
                <w:rFonts w:ascii="Arial" w:hAnsi="Arial" w:cs="Arial"/>
                <w:sz w:val="24"/>
                <w:szCs w:val="24"/>
              </w:rPr>
            </w:pPr>
            <w:r w:rsidRPr="00634580">
              <w:rPr>
                <w:rFonts w:ascii="Arial" w:hAnsi="Arial" w:cs="Arial"/>
                <w:sz w:val="24"/>
                <w:szCs w:val="24"/>
              </w:rPr>
              <w:t>.3639</w:t>
            </w:r>
          </w:p>
        </w:tc>
        <w:tc>
          <w:tcPr>
            <w:tcW w:w="1483" w:type="dxa"/>
            <w:tcBorders>
              <w:left w:val="nil"/>
              <w:bottom w:val="single" w:sz="4" w:space="0" w:color="auto"/>
              <w:right w:val="nil"/>
            </w:tcBorders>
          </w:tcPr>
          <w:p w14:paraId="5D80F218" w14:textId="77777777" w:rsidR="0093626A" w:rsidRPr="00634580" w:rsidRDefault="00000000" w:rsidP="00634580">
            <w:pPr>
              <w:spacing w:after="0" w:line="360" w:lineRule="auto"/>
              <w:jc w:val="center"/>
              <w:rPr>
                <w:rFonts w:ascii="Arial" w:hAnsi="Arial" w:cs="Arial"/>
                <w:sz w:val="24"/>
                <w:szCs w:val="24"/>
              </w:rPr>
            </w:pPr>
            <w:r w:rsidRPr="00634580">
              <w:rPr>
                <w:rFonts w:ascii="Arial" w:hAnsi="Arial" w:cs="Arial"/>
                <w:sz w:val="24"/>
                <w:szCs w:val="24"/>
              </w:rPr>
              <w:t>.6043</w:t>
            </w:r>
          </w:p>
          <w:p w14:paraId="36D47CDA" w14:textId="77777777" w:rsidR="0093626A" w:rsidRPr="00634580" w:rsidRDefault="00000000" w:rsidP="00634580">
            <w:pPr>
              <w:spacing w:after="0" w:line="360" w:lineRule="auto"/>
              <w:jc w:val="center"/>
              <w:rPr>
                <w:rFonts w:ascii="Arial" w:hAnsi="Arial" w:cs="Arial"/>
                <w:sz w:val="24"/>
                <w:szCs w:val="24"/>
              </w:rPr>
            </w:pPr>
            <w:r w:rsidRPr="00634580">
              <w:rPr>
                <w:rFonts w:ascii="Arial" w:hAnsi="Arial" w:cs="Arial"/>
                <w:sz w:val="24"/>
                <w:szCs w:val="24"/>
              </w:rPr>
              <w:t>.5040</w:t>
            </w:r>
          </w:p>
          <w:p w14:paraId="10C693E3" w14:textId="77777777" w:rsidR="0093626A" w:rsidRPr="00634580" w:rsidRDefault="00000000" w:rsidP="00634580">
            <w:pPr>
              <w:spacing w:after="0" w:line="360" w:lineRule="auto"/>
              <w:jc w:val="center"/>
              <w:rPr>
                <w:rFonts w:ascii="Arial" w:hAnsi="Arial" w:cs="Arial"/>
                <w:sz w:val="24"/>
                <w:szCs w:val="24"/>
              </w:rPr>
            </w:pPr>
            <w:r w:rsidRPr="00634580">
              <w:rPr>
                <w:rFonts w:ascii="Arial" w:hAnsi="Arial" w:cs="Arial"/>
                <w:sz w:val="24"/>
                <w:szCs w:val="24"/>
              </w:rPr>
              <w:t>.5260</w:t>
            </w:r>
          </w:p>
          <w:p w14:paraId="2D241307" w14:textId="77777777" w:rsidR="0093626A" w:rsidRPr="00634580" w:rsidRDefault="00000000" w:rsidP="00634580">
            <w:pPr>
              <w:spacing w:after="0" w:line="360" w:lineRule="auto"/>
              <w:jc w:val="center"/>
              <w:rPr>
                <w:rFonts w:ascii="Arial" w:hAnsi="Arial" w:cs="Arial"/>
                <w:sz w:val="24"/>
                <w:szCs w:val="24"/>
              </w:rPr>
            </w:pPr>
            <w:r w:rsidRPr="00634580">
              <w:rPr>
                <w:rFonts w:ascii="Arial" w:hAnsi="Arial" w:cs="Arial"/>
                <w:sz w:val="24"/>
                <w:szCs w:val="24"/>
              </w:rPr>
              <w:t>.4238</w:t>
            </w:r>
          </w:p>
          <w:p w14:paraId="5BFAC9C9" w14:textId="77777777" w:rsidR="0093626A" w:rsidRPr="00634580" w:rsidRDefault="00000000" w:rsidP="00634580">
            <w:pPr>
              <w:spacing w:after="0" w:line="360" w:lineRule="auto"/>
              <w:jc w:val="center"/>
              <w:rPr>
                <w:rFonts w:ascii="Arial" w:hAnsi="Arial" w:cs="Arial"/>
                <w:sz w:val="24"/>
                <w:szCs w:val="24"/>
              </w:rPr>
            </w:pPr>
            <w:r w:rsidRPr="00634580">
              <w:rPr>
                <w:rFonts w:ascii="Arial" w:hAnsi="Arial" w:cs="Arial"/>
                <w:sz w:val="24"/>
                <w:szCs w:val="24"/>
              </w:rPr>
              <w:t>.4450</w:t>
            </w:r>
          </w:p>
          <w:p w14:paraId="3F1C007B" w14:textId="77777777" w:rsidR="0093626A" w:rsidRPr="00634580" w:rsidRDefault="00000000" w:rsidP="00634580">
            <w:pPr>
              <w:spacing w:after="0" w:line="360" w:lineRule="auto"/>
              <w:jc w:val="center"/>
              <w:rPr>
                <w:rFonts w:ascii="Arial" w:hAnsi="Arial" w:cs="Arial"/>
                <w:sz w:val="24"/>
                <w:szCs w:val="24"/>
              </w:rPr>
            </w:pPr>
            <w:r w:rsidRPr="00634580">
              <w:rPr>
                <w:rFonts w:ascii="Arial" w:hAnsi="Arial" w:cs="Arial"/>
                <w:sz w:val="24"/>
                <w:szCs w:val="24"/>
              </w:rPr>
              <w:t>.2606</w:t>
            </w:r>
          </w:p>
        </w:tc>
        <w:tc>
          <w:tcPr>
            <w:tcW w:w="1830" w:type="dxa"/>
            <w:tcBorders>
              <w:left w:val="nil"/>
              <w:bottom w:val="single" w:sz="4" w:space="0" w:color="auto"/>
              <w:right w:val="nil"/>
            </w:tcBorders>
          </w:tcPr>
          <w:p w14:paraId="304B4E12" w14:textId="77777777" w:rsidR="0093626A" w:rsidRPr="00634580" w:rsidRDefault="00000000" w:rsidP="00634580">
            <w:pPr>
              <w:spacing w:after="0" w:line="360" w:lineRule="auto"/>
              <w:rPr>
                <w:rFonts w:ascii="Arial" w:hAnsi="Arial" w:cs="Arial"/>
                <w:sz w:val="24"/>
                <w:szCs w:val="24"/>
              </w:rPr>
            </w:pPr>
            <w:r w:rsidRPr="00634580">
              <w:rPr>
                <w:rFonts w:ascii="Arial" w:hAnsi="Arial" w:cs="Arial"/>
                <w:sz w:val="24"/>
                <w:szCs w:val="24"/>
              </w:rPr>
              <w:t>Selección y organización</w:t>
            </w:r>
          </w:p>
          <w:p w14:paraId="53FEC4C8" w14:textId="77777777" w:rsidR="0093626A" w:rsidRPr="00634580" w:rsidRDefault="00000000" w:rsidP="00634580">
            <w:pPr>
              <w:spacing w:after="0" w:line="360" w:lineRule="auto"/>
              <w:rPr>
                <w:rFonts w:ascii="Arial" w:hAnsi="Arial" w:cs="Arial"/>
                <w:sz w:val="24"/>
                <w:szCs w:val="24"/>
              </w:rPr>
            </w:pPr>
            <w:r w:rsidRPr="00634580">
              <w:rPr>
                <w:rFonts w:ascii="Arial" w:hAnsi="Arial" w:cs="Arial"/>
                <w:sz w:val="24"/>
                <w:szCs w:val="24"/>
              </w:rPr>
              <w:t>Subrayado</w:t>
            </w:r>
          </w:p>
          <w:p w14:paraId="6FD007FE" w14:textId="77777777" w:rsidR="0093626A" w:rsidRPr="00634580" w:rsidRDefault="00000000" w:rsidP="00634580">
            <w:pPr>
              <w:spacing w:after="0" w:line="360" w:lineRule="auto"/>
              <w:rPr>
                <w:rFonts w:ascii="Arial" w:hAnsi="Arial" w:cs="Arial"/>
                <w:sz w:val="24"/>
                <w:szCs w:val="24"/>
              </w:rPr>
            </w:pPr>
            <w:r w:rsidRPr="00634580">
              <w:rPr>
                <w:rFonts w:ascii="Arial" w:hAnsi="Arial" w:cs="Arial"/>
                <w:sz w:val="24"/>
                <w:szCs w:val="24"/>
              </w:rPr>
              <w:t>Conciencia de estrategias</w:t>
            </w:r>
          </w:p>
          <w:p w14:paraId="1ACF853A" w14:textId="77777777" w:rsidR="0093626A" w:rsidRPr="00634580" w:rsidRDefault="00000000" w:rsidP="00634580">
            <w:pPr>
              <w:spacing w:after="0" w:line="360" w:lineRule="auto"/>
              <w:rPr>
                <w:rFonts w:ascii="Arial" w:hAnsi="Arial" w:cs="Arial"/>
                <w:sz w:val="24"/>
                <w:szCs w:val="24"/>
              </w:rPr>
            </w:pPr>
            <w:r w:rsidRPr="00634580">
              <w:rPr>
                <w:rFonts w:ascii="Arial" w:hAnsi="Arial" w:cs="Arial"/>
                <w:sz w:val="24"/>
                <w:szCs w:val="24"/>
              </w:rPr>
              <w:t>Estrategias de elaboración</w:t>
            </w:r>
          </w:p>
          <w:p w14:paraId="2636AF8E" w14:textId="77777777" w:rsidR="0093626A" w:rsidRPr="00634580" w:rsidRDefault="00000000" w:rsidP="00634580">
            <w:pPr>
              <w:spacing w:after="0" w:line="360" w:lineRule="auto"/>
              <w:rPr>
                <w:rFonts w:ascii="Arial" w:hAnsi="Arial" w:cs="Arial"/>
                <w:sz w:val="24"/>
                <w:szCs w:val="24"/>
              </w:rPr>
            </w:pPr>
            <w:r w:rsidRPr="00634580">
              <w:rPr>
                <w:rFonts w:ascii="Arial" w:hAnsi="Arial" w:cs="Arial"/>
                <w:sz w:val="24"/>
                <w:szCs w:val="24"/>
              </w:rPr>
              <w:t>Planificación y control</w:t>
            </w:r>
          </w:p>
          <w:p w14:paraId="1AF997E1" w14:textId="77777777" w:rsidR="0093626A" w:rsidRPr="00634580" w:rsidRDefault="00000000" w:rsidP="00634580">
            <w:pPr>
              <w:spacing w:after="0" w:line="360" w:lineRule="auto"/>
              <w:rPr>
                <w:rFonts w:ascii="Arial" w:hAnsi="Arial" w:cs="Arial"/>
                <w:sz w:val="24"/>
                <w:szCs w:val="24"/>
              </w:rPr>
            </w:pPr>
            <w:r w:rsidRPr="00634580">
              <w:rPr>
                <w:rFonts w:ascii="Arial" w:hAnsi="Arial" w:cs="Arial"/>
                <w:sz w:val="24"/>
                <w:szCs w:val="24"/>
              </w:rPr>
              <w:t>Repetición y relectura</w:t>
            </w:r>
          </w:p>
        </w:tc>
      </w:tr>
      <w:tr w:rsidR="0093626A" w14:paraId="580822D2" w14:textId="77777777">
        <w:tc>
          <w:tcPr>
            <w:tcW w:w="1251" w:type="dxa"/>
            <w:tcBorders>
              <w:top w:val="single" w:sz="4" w:space="0" w:color="auto"/>
              <w:left w:val="nil"/>
              <w:bottom w:val="single" w:sz="4" w:space="0" w:color="auto"/>
              <w:right w:val="nil"/>
            </w:tcBorders>
          </w:tcPr>
          <w:p w14:paraId="7D9F171C" w14:textId="77777777" w:rsidR="0093626A" w:rsidRPr="00634580" w:rsidRDefault="00000000" w:rsidP="00634580">
            <w:pPr>
              <w:spacing w:after="0" w:line="360" w:lineRule="auto"/>
              <w:rPr>
                <w:rFonts w:ascii="Arial" w:hAnsi="Arial" w:cs="Arial"/>
                <w:sz w:val="24"/>
                <w:szCs w:val="24"/>
              </w:rPr>
            </w:pPr>
            <w:r w:rsidRPr="00634580">
              <w:rPr>
                <w:rFonts w:ascii="Arial" w:hAnsi="Arial" w:cs="Arial"/>
                <w:sz w:val="24"/>
                <w:szCs w:val="24"/>
              </w:rPr>
              <w:t>II. Estrategias de apoyo al aprendizaje</w:t>
            </w:r>
          </w:p>
        </w:tc>
        <w:tc>
          <w:tcPr>
            <w:tcW w:w="1261" w:type="dxa"/>
            <w:tcBorders>
              <w:top w:val="single" w:sz="4" w:space="0" w:color="auto"/>
              <w:left w:val="nil"/>
              <w:bottom w:val="single" w:sz="4" w:space="0" w:color="auto"/>
              <w:right w:val="nil"/>
            </w:tcBorders>
          </w:tcPr>
          <w:p w14:paraId="5B468C79" w14:textId="77777777" w:rsidR="0093626A" w:rsidRPr="00634580" w:rsidRDefault="00000000" w:rsidP="00634580">
            <w:pPr>
              <w:spacing w:after="0" w:line="360" w:lineRule="auto"/>
              <w:jc w:val="center"/>
              <w:rPr>
                <w:rFonts w:ascii="Arial" w:hAnsi="Arial" w:cs="Arial"/>
                <w:sz w:val="24"/>
                <w:szCs w:val="24"/>
              </w:rPr>
            </w:pPr>
            <w:r w:rsidRPr="00634580">
              <w:rPr>
                <w:rFonts w:ascii="Arial" w:hAnsi="Arial" w:cs="Arial"/>
                <w:sz w:val="24"/>
                <w:szCs w:val="24"/>
              </w:rPr>
              <w:t>10.0</w:t>
            </w:r>
          </w:p>
        </w:tc>
        <w:tc>
          <w:tcPr>
            <w:tcW w:w="1028" w:type="dxa"/>
            <w:tcBorders>
              <w:top w:val="single" w:sz="4" w:space="0" w:color="auto"/>
              <w:left w:val="nil"/>
              <w:bottom w:val="single" w:sz="4" w:space="0" w:color="auto"/>
              <w:right w:val="nil"/>
            </w:tcBorders>
          </w:tcPr>
          <w:p w14:paraId="3C87EF2D" w14:textId="77777777" w:rsidR="0093626A" w:rsidRPr="00634580" w:rsidRDefault="00000000" w:rsidP="00634580">
            <w:pPr>
              <w:spacing w:after="0" w:line="360" w:lineRule="auto"/>
              <w:jc w:val="center"/>
              <w:rPr>
                <w:rFonts w:ascii="Arial" w:hAnsi="Arial" w:cs="Arial"/>
                <w:sz w:val="24"/>
                <w:szCs w:val="24"/>
              </w:rPr>
            </w:pPr>
            <w:r w:rsidRPr="00634580">
              <w:rPr>
                <w:rFonts w:ascii="Arial" w:hAnsi="Arial" w:cs="Arial"/>
                <w:sz w:val="24"/>
                <w:szCs w:val="24"/>
              </w:rPr>
              <w:t>36.6</w:t>
            </w:r>
          </w:p>
        </w:tc>
        <w:tc>
          <w:tcPr>
            <w:tcW w:w="828" w:type="dxa"/>
            <w:tcBorders>
              <w:top w:val="single" w:sz="4" w:space="0" w:color="auto"/>
              <w:left w:val="nil"/>
              <w:bottom w:val="single" w:sz="4" w:space="0" w:color="auto"/>
              <w:right w:val="nil"/>
            </w:tcBorders>
          </w:tcPr>
          <w:p w14:paraId="45EF566E" w14:textId="77777777" w:rsidR="0093626A" w:rsidRPr="00634580" w:rsidRDefault="00000000" w:rsidP="00634580">
            <w:pPr>
              <w:spacing w:after="0" w:line="360" w:lineRule="auto"/>
              <w:jc w:val="center"/>
              <w:rPr>
                <w:rFonts w:ascii="Arial" w:hAnsi="Arial" w:cs="Arial"/>
                <w:sz w:val="24"/>
                <w:szCs w:val="24"/>
              </w:rPr>
            </w:pPr>
            <w:r w:rsidRPr="00634580">
              <w:rPr>
                <w:rFonts w:ascii="Arial" w:hAnsi="Arial" w:cs="Arial"/>
                <w:sz w:val="24"/>
                <w:szCs w:val="24"/>
              </w:rPr>
              <w:t>IV</w:t>
            </w:r>
          </w:p>
          <w:p w14:paraId="09D3A5F0" w14:textId="77777777" w:rsidR="0093626A" w:rsidRPr="00634580" w:rsidRDefault="00000000" w:rsidP="00634580">
            <w:pPr>
              <w:spacing w:after="0" w:line="360" w:lineRule="auto"/>
              <w:jc w:val="center"/>
              <w:rPr>
                <w:rFonts w:ascii="Arial" w:hAnsi="Arial" w:cs="Arial"/>
                <w:sz w:val="24"/>
                <w:szCs w:val="24"/>
              </w:rPr>
            </w:pPr>
            <w:r w:rsidRPr="00634580">
              <w:rPr>
                <w:rFonts w:ascii="Arial" w:hAnsi="Arial" w:cs="Arial"/>
                <w:sz w:val="24"/>
                <w:szCs w:val="24"/>
              </w:rPr>
              <w:t>XIII</w:t>
            </w:r>
          </w:p>
          <w:p w14:paraId="179191DA" w14:textId="77777777" w:rsidR="0093626A" w:rsidRPr="00634580" w:rsidRDefault="00000000" w:rsidP="00634580">
            <w:pPr>
              <w:spacing w:after="0" w:line="360" w:lineRule="auto"/>
              <w:jc w:val="center"/>
              <w:rPr>
                <w:rFonts w:ascii="Arial" w:hAnsi="Arial" w:cs="Arial"/>
                <w:sz w:val="24"/>
                <w:szCs w:val="24"/>
              </w:rPr>
            </w:pPr>
            <w:r w:rsidRPr="00634580">
              <w:rPr>
                <w:rFonts w:ascii="Arial" w:hAnsi="Arial" w:cs="Arial"/>
                <w:sz w:val="24"/>
                <w:szCs w:val="24"/>
              </w:rPr>
              <w:t>XI</w:t>
            </w:r>
          </w:p>
          <w:p w14:paraId="46950B5F" w14:textId="77777777" w:rsidR="0093626A" w:rsidRPr="00634580" w:rsidRDefault="00000000" w:rsidP="00634580">
            <w:pPr>
              <w:spacing w:after="0" w:line="360" w:lineRule="auto"/>
              <w:jc w:val="center"/>
              <w:rPr>
                <w:rFonts w:ascii="Arial" w:hAnsi="Arial" w:cs="Arial"/>
                <w:sz w:val="24"/>
                <w:szCs w:val="24"/>
              </w:rPr>
            </w:pPr>
            <w:r w:rsidRPr="00634580">
              <w:rPr>
                <w:rFonts w:ascii="Arial" w:hAnsi="Arial" w:cs="Arial"/>
                <w:sz w:val="24"/>
                <w:szCs w:val="24"/>
              </w:rPr>
              <w:t>VIII</w:t>
            </w:r>
          </w:p>
          <w:p w14:paraId="5EE217AC" w14:textId="77777777" w:rsidR="0093626A" w:rsidRPr="00634580" w:rsidRDefault="00000000" w:rsidP="00634580">
            <w:pPr>
              <w:spacing w:after="0" w:line="360" w:lineRule="auto"/>
              <w:jc w:val="center"/>
              <w:rPr>
                <w:rFonts w:ascii="Arial" w:hAnsi="Arial" w:cs="Arial"/>
                <w:sz w:val="24"/>
                <w:szCs w:val="24"/>
              </w:rPr>
            </w:pPr>
            <w:r w:rsidRPr="00634580">
              <w:rPr>
                <w:rFonts w:ascii="Arial" w:hAnsi="Arial" w:cs="Arial"/>
                <w:sz w:val="24"/>
                <w:szCs w:val="24"/>
              </w:rPr>
              <w:t>X</w:t>
            </w:r>
          </w:p>
        </w:tc>
        <w:tc>
          <w:tcPr>
            <w:tcW w:w="1250" w:type="dxa"/>
            <w:tcBorders>
              <w:top w:val="single" w:sz="4" w:space="0" w:color="auto"/>
              <w:left w:val="nil"/>
              <w:bottom w:val="single" w:sz="4" w:space="0" w:color="auto"/>
              <w:right w:val="nil"/>
            </w:tcBorders>
          </w:tcPr>
          <w:p w14:paraId="22B30B5C" w14:textId="77777777" w:rsidR="0093626A" w:rsidRPr="00634580" w:rsidRDefault="00000000" w:rsidP="00634580">
            <w:pPr>
              <w:spacing w:after="0" w:line="360" w:lineRule="auto"/>
              <w:jc w:val="center"/>
              <w:rPr>
                <w:rFonts w:ascii="Arial" w:hAnsi="Arial" w:cs="Arial"/>
                <w:sz w:val="24"/>
                <w:szCs w:val="24"/>
              </w:rPr>
            </w:pPr>
            <w:r w:rsidRPr="00634580">
              <w:rPr>
                <w:rFonts w:ascii="Arial" w:hAnsi="Arial" w:cs="Arial"/>
                <w:sz w:val="24"/>
                <w:szCs w:val="24"/>
              </w:rPr>
              <w:t>.7103</w:t>
            </w:r>
          </w:p>
          <w:p w14:paraId="49C79526" w14:textId="77777777" w:rsidR="0093626A" w:rsidRPr="00634580" w:rsidRDefault="00000000" w:rsidP="00634580">
            <w:pPr>
              <w:spacing w:after="0" w:line="360" w:lineRule="auto"/>
              <w:jc w:val="center"/>
              <w:rPr>
                <w:rFonts w:ascii="Arial" w:hAnsi="Arial" w:cs="Arial"/>
                <w:sz w:val="24"/>
                <w:szCs w:val="24"/>
              </w:rPr>
            </w:pPr>
            <w:r w:rsidRPr="00634580">
              <w:rPr>
                <w:rFonts w:ascii="Arial" w:hAnsi="Arial" w:cs="Arial"/>
                <w:sz w:val="24"/>
                <w:szCs w:val="24"/>
              </w:rPr>
              <w:t>.6192</w:t>
            </w:r>
          </w:p>
          <w:p w14:paraId="08B1ACA6" w14:textId="77777777" w:rsidR="0093626A" w:rsidRPr="00634580" w:rsidRDefault="00000000" w:rsidP="00634580">
            <w:pPr>
              <w:spacing w:after="0" w:line="360" w:lineRule="auto"/>
              <w:jc w:val="center"/>
              <w:rPr>
                <w:rFonts w:ascii="Arial" w:hAnsi="Arial" w:cs="Arial"/>
                <w:sz w:val="24"/>
                <w:szCs w:val="24"/>
              </w:rPr>
            </w:pPr>
            <w:r w:rsidRPr="00634580">
              <w:rPr>
                <w:rFonts w:ascii="Arial" w:hAnsi="Arial" w:cs="Arial"/>
                <w:sz w:val="24"/>
                <w:szCs w:val="24"/>
              </w:rPr>
              <w:t>.6170</w:t>
            </w:r>
          </w:p>
          <w:p w14:paraId="2339079E" w14:textId="77777777" w:rsidR="0093626A" w:rsidRPr="00634580" w:rsidRDefault="00000000" w:rsidP="00634580">
            <w:pPr>
              <w:spacing w:after="0" w:line="360" w:lineRule="auto"/>
              <w:jc w:val="center"/>
              <w:rPr>
                <w:rFonts w:ascii="Arial" w:hAnsi="Arial" w:cs="Arial"/>
                <w:sz w:val="24"/>
                <w:szCs w:val="24"/>
              </w:rPr>
            </w:pPr>
            <w:r w:rsidRPr="00634580">
              <w:rPr>
                <w:rFonts w:ascii="Arial" w:hAnsi="Arial" w:cs="Arial"/>
                <w:sz w:val="24"/>
                <w:szCs w:val="24"/>
              </w:rPr>
              <w:t>.6147</w:t>
            </w:r>
          </w:p>
          <w:p w14:paraId="5DE5EB6C" w14:textId="77777777" w:rsidR="0093626A" w:rsidRPr="00634580" w:rsidRDefault="00000000" w:rsidP="00634580">
            <w:pPr>
              <w:spacing w:after="0" w:line="360" w:lineRule="auto"/>
              <w:jc w:val="center"/>
              <w:rPr>
                <w:rFonts w:ascii="Arial" w:hAnsi="Arial" w:cs="Arial"/>
                <w:sz w:val="24"/>
                <w:szCs w:val="24"/>
              </w:rPr>
            </w:pPr>
            <w:r w:rsidRPr="00634580">
              <w:rPr>
                <w:rFonts w:ascii="Arial" w:hAnsi="Arial" w:cs="Arial"/>
                <w:sz w:val="24"/>
                <w:szCs w:val="24"/>
              </w:rPr>
              <w:t>.4333</w:t>
            </w:r>
          </w:p>
        </w:tc>
        <w:tc>
          <w:tcPr>
            <w:tcW w:w="1483" w:type="dxa"/>
            <w:tcBorders>
              <w:top w:val="single" w:sz="4" w:space="0" w:color="auto"/>
              <w:left w:val="nil"/>
              <w:bottom w:val="single" w:sz="4" w:space="0" w:color="auto"/>
              <w:right w:val="nil"/>
            </w:tcBorders>
          </w:tcPr>
          <w:p w14:paraId="588582D2" w14:textId="77777777" w:rsidR="0093626A" w:rsidRPr="00634580" w:rsidRDefault="00000000" w:rsidP="00634580">
            <w:pPr>
              <w:spacing w:after="0" w:line="360" w:lineRule="auto"/>
              <w:jc w:val="center"/>
              <w:rPr>
                <w:rFonts w:ascii="Arial" w:hAnsi="Arial" w:cs="Arial"/>
                <w:sz w:val="24"/>
                <w:szCs w:val="24"/>
              </w:rPr>
            </w:pPr>
            <w:r w:rsidRPr="00634580">
              <w:rPr>
                <w:rFonts w:ascii="Arial" w:hAnsi="Arial" w:cs="Arial"/>
                <w:sz w:val="24"/>
                <w:szCs w:val="24"/>
              </w:rPr>
              <w:t>.5645</w:t>
            </w:r>
          </w:p>
          <w:p w14:paraId="14F8A468" w14:textId="77777777" w:rsidR="0093626A" w:rsidRPr="00634580" w:rsidRDefault="00000000" w:rsidP="00634580">
            <w:pPr>
              <w:spacing w:after="0" w:line="360" w:lineRule="auto"/>
              <w:jc w:val="center"/>
              <w:rPr>
                <w:rFonts w:ascii="Arial" w:hAnsi="Arial" w:cs="Arial"/>
                <w:sz w:val="24"/>
                <w:szCs w:val="24"/>
              </w:rPr>
            </w:pPr>
            <w:r w:rsidRPr="00634580">
              <w:rPr>
                <w:rFonts w:ascii="Arial" w:hAnsi="Arial" w:cs="Arial"/>
                <w:sz w:val="24"/>
                <w:szCs w:val="24"/>
              </w:rPr>
              <w:t>.3868</w:t>
            </w:r>
          </w:p>
          <w:p w14:paraId="21C7F5C3" w14:textId="77777777" w:rsidR="0093626A" w:rsidRPr="00634580" w:rsidRDefault="00000000" w:rsidP="00634580">
            <w:pPr>
              <w:spacing w:after="0" w:line="360" w:lineRule="auto"/>
              <w:jc w:val="center"/>
              <w:rPr>
                <w:rFonts w:ascii="Arial" w:hAnsi="Arial" w:cs="Arial"/>
                <w:sz w:val="24"/>
                <w:szCs w:val="24"/>
              </w:rPr>
            </w:pPr>
            <w:r w:rsidRPr="00634580">
              <w:rPr>
                <w:rFonts w:ascii="Arial" w:hAnsi="Arial" w:cs="Arial"/>
                <w:sz w:val="24"/>
                <w:szCs w:val="24"/>
              </w:rPr>
              <w:t>.4512</w:t>
            </w:r>
          </w:p>
          <w:p w14:paraId="0F2BF45D" w14:textId="77777777" w:rsidR="0093626A" w:rsidRPr="00634580" w:rsidRDefault="00000000" w:rsidP="00634580">
            <w:pPr>
              <w:spacing w:after="0" w:line="360" w:lineRule="auto"/>
              <w:jc w:val="center"/>
              <w:rPr>
                <w:rFonts w:ascii="Arial" w:hAnsi="Arial" w:cs="Arial"/>
                <w:sz w:val="24"/>
                <w:szCs w:val="24"/>
              </w:rPr>
            </w:pPr>
            <w:r w:rsidRPr="00634580">
              <w:rPr>
                <w:rFonts w:ascii="Arial" w:hAnsi="Arial" w:cs="Arial"/>
                <w:sz w:val="24"/>
                <w:szCs w:val="24"/>
              </w:rPr>
              <w:t>.6442</w:t>
            </w:r>
          </w:p>
          <w:p w14:paraId="244A41F1" w14:textId="77777777" w:rsidR="0093626A" w:rsidRPr="00634580" w:rsidRDefault="00000000" w:rsidP="00634580">
            <w:pPr>
              <w:spacing w:after="0" w:line="360" w:lineRule="auto"/>
              <w:jc w:val="center"/>
              <w:rPr>
                <w:rFonts w:ascii="Arial" w:hAnsi="Arial" w:cs="Arial"/>
                <w:sz w:val="24"/>
                <w:szCs w:val="24"/>
              </w:rPr>
            </w:pPr>
            <w:r w:rsidRPr="00634580">
              <w:rPr>
                <w:rFonts w:ascii="Arial" w:hAnsi="Arial" w:cs="Arial"/>
                <w:sz w:val="24"/>
                <w:szCs w:val="24"/>
              </w:rPr>
              <w:t>.4472</w:t>
            </w:r>
          </w:p>
        </w:tc>
        <w:tc>
          <w:tcPr>
            <w:tcW w:w="1830" w:type="dxa"/>
            <w:tcBorders>
              <w:top w:val="single" w:sz="4" w:space="0" w:color="auto"/>
              <w:left w:val="nil"/>
              <w:bottom w:val="single" w:sz="4" w:space="0" w:color="auto"/>
              <w:right w:val="nil"/>
            </w:tcBorders>
          </w:tcPr>
          <w:p w14:paraId="4FD09031" w14:textId="77777777" w:rsidR="0093626A" w:rsidRPr="00634580" w:rsidRDefault="00000000" w:rsidP="00634580">
            <w:pPr>
              <w:spacing w:after="0" w:line="360" w:lineRule="auto"/>
              <w:rPr>
                <w:rFonts w:ascii="Arial" w:hAnsi="Arial" w:cs="Arial"/>
                <w:sz w:val="24"/>
                <w:szCs w:val="24"/>
              </w:rPr>
            </w:pPr>
            <w:r w:rsidRPr="00634580">
              <w:rPr>
                <w:rFonts w:ascii="Arial" w:hAnsi="Arial" w:cs="Arial"/>
                <w:sz w:val="24"/>
                <w:szCs w:val="24"/>
              </w:rPr>
              <w:t>Motivación intrínseca</w:t>
            </w:r>
          </w:p>
          <w:p w14:paraId="0F38993F" w14:textId="77777777" w:rsidR="0093626A" w:rsidRPr="00634580" w:rsidRDefault="00000000" w:rsidP="00634580">
            <w:pPr>
              <w:spacing w:after="0" w:line="360" w:lineRule="auto"/>
              <w:rPr>
                <w:rFonts w:ascii="Arial" w:hAnsi="Arial" w:cs="Arial"/>
                <w:sz w:val="24"/>
                <w:szCs w:val="24"/>
              </w:rPr>
            </w:pPr>
            <w:r w:rsidRPr="00634580">
              <w:rPr>
                <w:rFonts w:ascii="Arial" w:hAnsi="Arial" w:cs="Arial"/>
                <w:sz w:val="24"/>
                <w:szCs w:val="24"/>
              </w:rPr>
              <w:t>Control de ansiedad</w:t>
            </w:r>
          </w:p>
          <w:p w14:paraId="095BB984" w14:textId="77777777" w:rsidR="0093626A" w:rsidRPr="00634580" w:rsidRDefault="00000000" w:rsidP="00634580">
            <w:pPr>
              <w:spacing w:after="0" w:line="360" w:lineRule="auto"/>
              <w:rPr>
                <w:rFonts w:ascii="Arial" w:hAnsi="Arial" w:cs="Arial"/>
                <w:sz w:val="24"/>
                <w:szCs w:val="24"/>
              </w:rPr>
            </w:pPr>
            <w:r w:rsidRPr="00634580">
              <w:rPr>
                <w:rFonts w:ascii="Arial" w:hAnsi="Arial" w:cs="Arial"/>
                <w:sz w:val="24"/>
                <w:szCs w:val="24"/>
              </w:rPr>
              <w:t>Condiciones no distracción</w:t>
            </w:r>
          </w:p>
          <w:p w14:paraId="1EE8B633" w14:textId="77777777" w:rsidR="0093626A" w:rsidRPr="00634580" w:rsidRDefault="00000000" w:rsidP="00634580">
            <w:pPr>
              <w:spacing w:after="0" w:line="360" w:lineRule="auto"/>
              <w:rPr>
                <w:rFonts w:ascii="Arial" w:hAnsi="Arial" w:cs="Arial"/>
                <w:sz w:val="24"/>
                <w:szCs w:val="24"/>
              </w:rPr>
            </w:pPr>
            <w:r w:rsidRPr="00634580">
              <w:rPr>
                <w:rFonts w:ascii="Arial" w:hAnsi="Arial" w:cs="Arial"/>
                <w:sz w:val="24"/>
                <w:szCs w:val="24"/>
              </w:rPr>
              <w:t>Apoyo social</w:t>
            </w:r>
          </w:p>
          <w:p w14:paraId="60A293AC" w14:textId="77777777" w:rsidR="0093626A" w:rsidRPr="00634580" w:rsidRDefault="00000000" w:rsidP="00634580">
            <w:pPr>
              <w:spacing w:after="0" w:line="360" w:lineRule="auto"/>
              <w:rPr>
                <w:rFonts w:ascii="Arial" w:hAnsi="Arial" w:cs="Arial"/>
                <w:sz w:val="24"/>
                <w:szCs w:val="24"/>
              </w:rPr>
            </w:pPr>
            <w:r w:rsidRPr="00634580">
              <w:rPr>
                <w:rFonts w:ascii="Arial" w:hAnsi="Arial" w:cs="Arial"/>
                <w:sz w:val="24"/>
                <w:szCs w:val="24"/>
              </w:rPr>
              <w:lastRenderedPageBreak/>
              <w:t>Horario y plan de trabajo</w:t>
            </w:r>
          </w:p>
        </w:tc>
      </w:tr>
      <w:tr w:rsidR="0093626A" w14:paraId="3D15FFF0" w14:textId="77777777">
        <w:tc>
          <w:tcPr>
            <w:tcW w:w="1251" w:type="dxa"/>
            <w:tcBorders>
              <w:top w:val="single" w:sz="4" w:space="0" w:color="auto"/>
              <w:left w:val="nil"/>
              <w:bottom w:val="single" w:sz="4" w:space="0" w:color="auto"/>
              <w:right w:val="nil"/>
            </w:tcBorders>
          </w:tcPr>
          <w:p w14:paraId="4B2CBD5C" w14:textId="77777777" w:rsidR="0093626A" w:rsidRPr="00634580" w:rsidRDefault="00000000" w:rsidP="00634580">
            <w:pPr>
              <w:spacing w:after="0" w:line="360" w:lineRule="auto"/>
              <w:rPr>
                <w:rFonts w:ascii="Arial" w:hAnsi="Arial" w:cs="Arial"/>
                <w:sz w:val="24"/>
                <w:szCs w:val="24"/>
              </w:rPr>
            </w:pPr>
            <w:r w:rsidRPr="00634580">
              <w:rPr>
                <w:rFonts w:ascii="Arial" w:hAnsi="Arial" w:cs="Arial"/>
                <w:sz w:val="24"/>
                <w:szCs w:val="24"/>
                <w:lang w:val="en-US"/>
              </w:rPr>
              <w:lastRenderedPageBreak/>
              <w:t>III. Hábitos de estudio</w:t>
            </w:r>
          </w:p>
        </w:tc>
        <w:tc>
          <w:tcPr>
            <w:tcW w:w="1261" w:type="dxa"/>
            <w:tcBorders>
              <w:top w:val="single" w:sz="4" w:space="0" w:color="auto"/>
              <w:left w:val="nil"/>
              <w:bottom w:val="single" w:sz="4" w:space="0" w:color="auto"/>
              <w:right w:val="nil"/>
            </w:tcBorders>
          </w:tcPr>
          <w:p w14:paraId="0E6961EB" w14:textId="77777777" w:rsidR="0093626A" w:rsidRPr="00634580" w:rsidRDefault="00000000" w:rsidP="00634580">
            <w:pPr>
              <w:spacing w:after="0" w:line="360" w:lineRule="auto"/>
              <w:jc w:val="center"/>
              <w:rPr>
                <w:rFonts w:ascii="Arial" w:hAnsi="Arial" w:cs="Arial"/>
                <w:sz w:val="24"/>
                <w:szCs w:val="24"/>
              </w:rPr>
            </w:pPr>
            <w:r w:rsidRPr="00634580">
              <w:rPr>
                <w:rFonts w:ascii="Arial" w:hAnsi="Arial" w:cs="Arial"/>
                <w:sz w:val="24"/>
                <w:szCs w:val="24"/>
              </w:rPr>
              <w:t>7.6</w:t>
            </w:r>
          </w:p>
        </w:tc>
        <w:tc>
          <w:tcPr>
            <w:tcW w:w="1028" w:type="dxa"/>
            <w:tcBorders>
              <w:top w:val="single" w:sz="4" w:space="0" w:color="auto"/>
              <w:left w:val="nil"/>
              <w:bottom w:val="single" w:sz="4" w:space="0" w:color="auto"/>
              <w:right w:val="nil"/>
            </w:tcBorders>
          </w:tcPr>
          <w:p w14:paraId="7BDE32A2" w14:textId="77777777" w:rsidR="0093626A" w:rsidRPr="00634580" w:rsidRDefault="00000000" w:rsidP="00634580">
            <w:pPr>
              <w:spacing w:after="0" w:line="360" w:lineRule="auto"/>
              <w:jc w:val="center"/>
              <w:rPr>
                <w:rFonts w:ascii="Arial" w:hAnsi="Arial" w:cs="Arial"/>
                <w:sz w:val="24"/>
                <w:szCs w:val="24"/>
              </w:rPr>
            </w:pPr>
            <w:r w:rsidRPr="00634580">
              <w:rPr>
                <w:rFonts w:ascii="Arial" w:hAnsi="Arial" w:cs="Arial"/>
                <w:sz w:val="24"/>
                <w:szCs w:val="24"/>
              </w:rPr>
              <w:t>44.4</w:t>
            </w:r>
          </w:p>
        </w:tc>
        <w:tc>
          <w:tcPr>
            <w:tcW w:w="828" w:type="dxa"/>
            <w:tcBorders>
              <w:top w:val="single" w:sz="4" w:space="0" w:color="auto"/>
              <w:left w:val="nil"/>
              <w:bottom w:val="single" w:sz="4" w:space="0" w:color="auto"/>
              <w:right w:val="nil"/>
            </w:tcBorders>
          </w:tcPr>
          <w:p w14:paraId="16496EE2" w14:textId="77777777" w:rsidR="0093626A" w:rsidRPr="00634580" w:rsidRDefault="00000000" w:rsidP="00634580">
            <w:pPr>
              <w:spacing w:after="0" w:line="360" w:lineRule="auto"/>
              <w:jc w:val="center"/>
              <w:rPr>
                <w:rFonts w:ascii="Arial" w:hAnsi="Arial" w:cs="Arial"/>
                <w:sz w:val="24"/>
                <w:szCs w:val="24"/>
              </w:rPr>
            </w:pPr>
            <w:r w:rsidRPr="00634580">
              <w:rPr>
                <w:rFonts w:ascii="Arial" w:hAnsi="Arial" w:cs="Arial"/>
                <w:sz w:val="24"/>
                <w:szCs w:val="24"/>
              </w:rPr>
              <w:t>VI</w:t>
            </w:r>
          </w:p>
          <w:p w14:paraId="1A2F9BA9" w14:textId="77777777" w:rsidR="0093626A" w:rsidRPr="00634580" w:rsidRDefault="00000000" w:rsidP="00634580">
            <w:pPr>
              <w:spacing w:after="0" w:line="360" w:lineRule="auto"/>
              <w:jc w:val="center"/>
              <w:rPr>
                <w:rFonts w:ascii="Arial" w:hAnsi="Arial" w:cs="Arial"/>
                <w:sz w:val="24"/>
                <w:szCs w:val="24"/>
              </w:rPr>
            </w:pPr>
            <w:r w:rsidRPr="00634580">
              <w:rPr>
                <w:rFonts w:ascii="Arial" w:hAnsi="Arial" w:cs="Arial"/>
                <w:sz w:val="24"/>
                <w:szCs w:val="24"/>
              </w:rPr>
              <w:t>XIII</w:t>
            </w:r>
          </w:p>
        </w:tc>
        <w:tc>
          <w:tcPr>
            <w:tcW w:w="1250" w:type="dxa"/>
            <w:tcBorders>
              <w:top w:val="single" w:sz="4" w:space="0" w:color="auto"/>
              <w:left w:val="nil"/>
              <w:bottom w:val="single" w:sz="4" w:space="0" w:color="auto"/>
              <w:right w:val="nil"/>
            </w:tcBorders>
          </w:tcPr>
          <w:p w14:paraId="2F7367C8" w14:textId="77777777" w:rsidR="0093626A" w:rsidRPr="00634580" w:rsidRDefault="00000000" w:rsidP="00634580">
            <w:pPr>
              <w:spacing w:after="0" w:line="360" w:lineRule="auto"/>
              <w:jc w:val="center"/>
              <w:rPr>
                <w:rFonts w:ascii="Arial" w:hAnsi="Arial" w:cs="Arial"/>
                <w:sz w:val="24"/>
                <w:szCs w:val="24"/>
              </w:rPr>
            </w:pPr>
            <w:r w:rsidRPr="00634580">
              <w:rPr>
                <w:rFonts w:ascii="Arial" w:hAnsi="Arial" w:cs="Arial"/>
                <w:sz w:val="24"/>
                <w:szCs w:val="24"/>
              </w:rPr>
              <w:t>.6366</w:t>
            </w:r>
          </w:p>
          <w:p w14:paraId="79611EC6" w14:textId="77777777" w:rsidR="0093626A" w:rsidRPr="00634580" w:rsidRDefault="00000000" w:rsidP="00634580">
            <w:pPr>
              <w:spacing w:after="0" w:line="360" w:lineRule="auto"/>
              <w:jc w:val="center"/>
              <w:rPr>
                <w:rFonts w:ascii="Arial" w:hAnsi="Arial" w:cs="Arial"/>
                <w:sz w:val="24"/>
                <w:szCs w:val="24"/>
              </w:rPr>
            </w:pPr>
            <w:r w:rsidRPr="00634580">
              <w:rPr>
                <w:rFonts w:ascii="Arial" w:hAnsi="Arial" w:cs="Arial"/>
                <w:sz w:val="24"/>
                <w:szCs w:val="24"/>
              </w:rPr>
              <w:t>.4297</w:t>
            </w:r>
          </w:p>
        </w:tc>
        <w:tc>
          <w:tcPr>
            <w:tcW w:w="1483" w:type="dxa"/>
            <w:tcBorders>
              <w:top w:val="single" w:sz="4" w:space="0" w:color="auto"/>
              <w:left w:val="nil"/>
              <w:bottom w:val="single" w:sz="4" w:space="0" w:color="auto"/>
              <w:right w:val="nil"/>
            </w:tcBorders>
          </w:tcPr>
          <w:p w14:paraId="1DE677D6" w14:textId="77777777" w:rsidR="0093626A" w:rsidRPr="00634580" w:rsidRDefault="00000000" w:rsidP="00634580">
            <w:pPr>
              <w:spacing w:after="0" w:line="360" w:lineRule="auto"/>
              <w:jc w:val="center"/>
              <w:rPr>
                <w:rFonts w:ascii="Arial" w:hAnsi="Arial" w:cs="Arial"/>
                <w:sz w:val="24"/>
                <w:szCs w:val="24"/>
              </w:rPr>
            </w:pPr>
            <w:r w:rsidRPr="00634580">
              <w:rPr>
                <w:rFonts w:ascii="Arial" w:hAnsi="Arial" w:cs="Arial"/>
                <w:sz w:val="24"/>
                <w:szCs w:val="24"/>
              </w:rPr>
              <w:t>.4927</w:t>
            </w:r>
          </w:p>
          <w:p w14:paraId="2D90016B" w14:textId="77777777" w:rsidR="0093626A" w:rsidRPr="00634580" w:rsidRDefault="00000000" w:rsidP="00634580">
            <w:pPr>
              <w:spacing w:after="0" w:line="360" w:lineRule="auto"/>
              <w:jc w:val="center"/>
              <w:rPr>
                <w:rFonts w:ascii="Arial" w:hAnsi="Arial" w:cs="Arial"/>
                <w:sz w:val="24"/>
                <w:szCs w:val="24"/>
              </w:rPr>
            </w:pPr>
            <w:r w:rsidRPr="00634580">
              <w:rPr>
                <w:rFonts w:ascii="Arial" w:hAnsi="Arial" w:cs="Arial"/>
                <w:sz w:val="24"/>
                <w:szCs w:val="24"/>
              </w:rPr>
              <w:t>.3178</w:t>
            </w:r>
          </w:p>
        </w:tc>
        <w:tc>
          <w:tcPr>
            <w:tcW w:w="1830" w:type="dxa"/>
            <w:tcBorders>
              <w:top w:val="single" w:sz="4" w:space="0" w:color="auto"/>
              <w:left w:val="nil"/>
              <w:bottom w:val="single" w:sz="4" w:space="0" w:color="auto"/>
              <w:right w:val="nil"/>
            </w:tcBorders>
          </w:tcPr>
          <w:p w14:paraId="089333F3" w14:textId="77777777" w:rsidR="0093626A" w:rsidRPr="00634580" w:rsidRDefault="00000000" w:rsidP="00634580">
            <w:pPr>
              <w:spacing w:after="0" w:line="360" w:lineRule="auto"/>
              <w:rPr>
                <w:rFonts w:ascii="Arial" w:hAnsi="Arial" w:cs="Arial"/>
                <w:sz w:val="24"/>
                <w:szCs w:val="24"/>
              </w:rPr>
            </w:pPr>
            <w:r w:rsidRPr="00634580">
              <w:rPr>
                <w:rFonts w:ascii="Arial" w:hAnsi="Arial" w:cs="Arial"/>
                <w:sz w:val="24"/>
                <w:szCs w:val="24"/>
              </w:rPr>
              <w:t>Comprensión</w:t>
            </w:r>
          </w:p>
          <w:p w14:paraId="123CAF19" w14:textId="77777777" w:rsidR="0093626A" w:rsidRPr="00634580" w:rsidRDefault="00000000" w:rsidP="00634580">
            <w:pPr>
              <w:spacing w:after="0" w:line="360" w:lineRule="auto"/>
              <w:rPr>
                <w:rFonts w:ascii="Arial" w:hAnsi="Arial" w:cs="Arial"/>
                <w:sz w:val="24"/>
                <w:szCs w:val="24"/>
              </w:rPr>
            </w:pPr>
            <w:r w:rsidRPr="00634580">
              <w:rPr>
                <w:rFonts w:ascii="Arial" w:hAnsi="Arial" w:cs="Arial"/>
                <w:sz w:val="24"/>
                <w:szCs w:val="24"/>
              </w:rPr>
              <w:t>Hábitos de estudio</w:t>
            </w:r>
          </w:p>
        </w:tc>
      </w:tr>
    </w:tbl>
    <w:p w14:paraId="10087A53" w14:textId="77777777" w:rsidR="0093626A" w:rsidRPr="00634580" w:rsidRDefault="00000000" w:rsidP="00634580">
      <w:pPr>
        <w:spacing w:after="0" w:line="360" w:lineRule="auto"/>
        <w:jc w:val="both"/>
        <w:rPr>
          <w:rFonts w:ascii="Arial" w:hAnsi="Arial" w:cs="Arial"/>
          <w:sz w:val="20"/>
          <w:szCs w:val="20"/>
        </w:rPr>
      </w:pPr>
      <w:r>
        <w:rPr>
          <w:rStyle w:val="normaltextrun"/>
          <w:rFonts w:ascii="Arial" w:hAnsi="Arial" w:cs="Arial"/>
          <w:b/>
          <w:bCs/>
          <w:color w:val="000000"/>
          <w:sz w:val="20"/>
          <w:szCs w:val="20"/>
          <w:shd w:val="clear" w:color="auto" w:fill="FFFFFF"/>
        </w:rPr>
        <w:t>Nota:</w:t>
      </w:r>
      <w:r>
        <w:rPr>
          <w:rStyle w:val="normaltextrun"/>
          <w:rFonts w:ascii="Arial" w:hAnsi="Arial" w:cs="Arial"/>
          <w:color w:val="000000"/>
          <w:sz w:val="20"/>
          <w:szCs w:val="20"/>
          <w:shd w:val="clear" w:color="auto" w:fill="FFFFFF"/>
        </w:rPr>
        <w:t xml:space="preserve"> Estructura factorial por componentes principales (PC) y rotación varimax (N=899). No se han tomado en consideración las saturaciones de .40 en “Escala de estrategias de aprendizaje ACRA-Abreviada para alumnos universitarios”, De La Fuente Arias y Justicia (2017).</w:t>
      </w:r>
    </w:p>
    <w:p w14:paraId="3049775A" w14:textId="77777777" w:rsidR="0093626A" w:rsidRDefault="00000000" w:rsidP="005915A7">
      <w:pPr>
        <w:spacing w:after="0" w:line="360" w:lineRule="auto"/>
        <w:jc w:val="both"/>
        <w:rPr>
          <w:rFonts w:ascii="Arial" w:hAnsi="Arial" w:cs="Arial"/>
          <w:sz w:val="20"/>
          <w:szCs w:val="20"/>
        </w:rPr>
      </w:pPr>
      <w:r>
        <w:rPr>
          <w:rFonts w:ascii="Arial" w:hAnsi="Arial" w:cs="Arial"/>
          <w:i/>
          <w:iCs/>
          <w:sz w:val="20"/>
          <w:szCs w:val="20"/>
        </w:rPr>
        <w:t>Fuente:</w:t>
      </w:r>
      <w:r>
        <w:rPr>
          <w:rFonts w:ascii="Arial" w:hAnsi="Arial" w:cs="Arial"/>
          <w:sz w:val="20"/>
          <w:szCs w:val="20"/>
        </w:rPr>
        <w:t xml:space="preserve"> elaboración propia</w:t>
      </w:r>
    </w:p>
    <w:p w14:paraId="0D749030" w14:textId="77777777" w:rsidR="0093626A" w:rsidRPr="00634580" w:rsidRDefault="0093626A" w:rsidP="005915A7">
      <w:pPr>
        <w:spacing w:after="0" w:line="360" w:lineRule="auto"/>
        <w:jc w:val="both"/>
        <w:rPr>
          <w:rFonts w:ascii="Arial" w:hAnsi="Arial" w:cs="Arial"/>
          <w:sz w:val="24"/>
          <w:szCs w:val="24"/>
        </w:rPr>
      </w:pPr>
    </w:p>
    <w:p w14:paraId="4BCC48C5" w14:textId="77777777" w:rsidR="0093626A" w:rsidRDefault="00000000" w:rsidP="005915A7">
      <w:pPr>
        <w:spacing w:after="0" w:line="360" w:lineRule="auto"/>
        <w:ind w:firstLine="720"/>
        <w:jc w:val="both"/>
        <w:rPr>
          <w:rFonts w:ascii="Arial" w:hAnsi="Arial" w:cs="Arial"/>
          <w:sz w:val="24"/>
          <w:szCs w:val="24"/>
        </w:rPr>
      </w:pPr>
      <w:r>
        <w:rPr>
          <w:rFonts w:ascii="Arial" w:hAnsi="Arial" w:cs="Arial"/>
          <w:sz w:val="24"/>
          <w:szCs w:val="24"/>
        </w:rPr>
        <w:t xml:space="preserve">El resultado del análisis factorial y sus respectivos ítems dieron como lugar al cuestionario final de las estrategias ACRA abreviada para estudiantes universitarios compuesta por tres dimensiones, 13 subfactores y 44 ítems, con un Alpha global de .8828; en la dimensión I de .8562, dimensión II de .7753 y en la dimensión III de .5420 como se describe a continuación. </w:t>
      </w:r>
    </w:p>
    <w:p w14:paraId="77108468" w14:textId="77777777" w:rsidR="0093626A" w:rsidRDefault="00000000" w:rsidP="005915A7">
      <w:pPr>
        <w:spacing w:after="0" w:line="360" w:lineRule="auto"/>
        <w:jc w:val="both"/>
        <w:rPr>
          <w:rFonts w:ascii="Arial" w:hAnsi="Arial" w:cs="Arial"/>
          <w:sz w:val="24"/>
          <w:szCs w:val="24"/>
        </w:rPr>
      </w:pPr>
      <w:r>
        <w:rPr>
          <w:rFonts w:ascii="Arial" w:hAnsi="Arial" w:cs="Arial"/>
          <w:sz w:val="24"/>
          <w:szCs w:val="24"/>
        </w:rPr>
        <w:t xml:space="preserve">Dimensión I. Estrategias cognitivas y de control del aprendizaje, compuesta por 25 ítems: </w:t>
      </w:r>
    </w:p>
    <w:p w14:paraId="4FB477A0" w14:textId="77777777" w:rsidR="0093626A" w:rsidRDefault="00000000" w:rsidP="005915A7">
      <w:pPr>
        <w:pStyle w:val="Prrafodelista"/>
        <w:numPr>
          <w:ilvl w:val="0"/>
          <w:numId w:val="1"/>
        </w:numPr>
        <w:spacing w:after="0" w:line="360" w:lineRule="auto"/>
        <w:jc w:val="both"/>
        <w:rPr>
          <w:rFonts w:ascii="Arial" w:hAnsi="Arial" w:cs="Arial"/>
          <w:sz w:val="24"/>
          <w:szCs w:val="24"/>
          <w:lang w:val="en-US"/>
        </w:rPr>
      </w:pPr>
      <w:r>
        <w:rPr>
          <w:rFonts w:ascii="Arial" w:hAnsi="Arial" w:cs="Arial"/>
          <w:sz w:val="24"/>
          <w:szCs w:val="24"/>
          <w:lang w:val="en-US"/>
        </w:rPr>
        <w:t xml:space="preserve">I (F1). Selección y organización, ítems co32, co31, co30, co34, co42 y re4. </w:t>
      </w:r>
    </w:p>
    <w:p w14:paraId="595E1A0D" w14:textId="77777777" w:rsidR="0093626A" w:rsidRDefault="00000000" w:rsidP="005915A7">
      <w:pPr>
        <w:pStyle w:val="Prrafodelista"/>
        <w:numPr>
          <w:ilvl w:val="0"/>
          <w:numId w:val="1"/>
        </w:numPr>
        <w:spacing w:after="0" w:line="360" w:lineRule="auto"/>
        <w:jc w:val="both"/>
        <w:rPr>
          <w:rFonts w:ascii="Arial" w:hAnsi="Arial" w:cs="Arial"/>
          <w:sz w:val="24"/>
          <w:szCs w:val="24"/>
          <w:lang w:val="en-US"/>
        </w:rPr>
      </w:pPr>
      <w:r>
        <w:rPr>
          <w:rFonts w:ascii="Arial" w:hAnsi="Arial" w:cs="Arial"/>
          <w:sz w:val="24"/>
          <w:szCs w:val="24"/>
          <w:lang w:val="en-US"/>
        </w:rPr>
        <w:t xml:space="preserve">II (F7). Subrayado, ítems ad5, ad8, ad7 y ad6. </w:t>
      </w:r>
    </w:p>
    <w:p w14:paraId="0A1A5844" w14:textId="77777777" w:rsidR="0093626A" w:rsidRDefault="00000000" w:rsidP="005915A7">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III(F2). Conciencia de la funcionalidad de las estrategias, ítems ap3, ap2, ap4, ap5 y ap7. </w:t>
      </w:r>
    </w:p>
    <w:p w14:paraId="2FB8DFA0" w14:textId="77777777" w:rsidR="0093626A" w:rsidRDefault="00000000" w:rsidP="005915A7">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IV (F3). Estrategias de elaboración, ítems re5, re6, re3. </w:t>
      </w:r>
    </w:p>
    <w:p w14:paraId="6267DC6F" w14:textId="77777777" w:rsidR="0093626A" w:rsidRDefault="00000000" w:rsidP="005915A7">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V (F5). Planificación y control de la respuesta en situación de evaluación, ítems re17, re16, re18, re11 y re10. </w:t>
      </w:r>
    </w:p>
    <w:p w14:paraId="458069F6" w14:textId="77777777" w:rsidR="0093626A" w:rsidRDefault="00000000" w:rsidP="005915A7">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VI (F9). Repetición y relectura, ítems ad11, ad12. </w:t>
      </w:r>
    </w:p>
    <w:p w14:paraId="6A6DE1D3" w14:textId="77777777" w:rsidR="0093626A" w:rsidRDefault="00000000" w:rsidP="005915A7">
      <w:pPr>
        <w:spacing w:after="0" w:line="360" w:lineRule="auto"/>
        <w:jc w:val="both"/>
        <w:rPr>
          <w:rFonts w:ascii="Arial" w:hAnsi="Arial" w:cs="Arial"/>
          <w:sz w:val="24"/>
          <w:szCs w:val="24"/>
        </w:rPr>
      </w:pPr>
      <w:r>
        <w:rPr>
          <w:rFonts w:ascii="Arial" w:hAnsi="Arial" w:cs="Arial"/>
          <w:sz w:val="24"/>
          <w:szCs w:val="24"/>
        </w:rPr>
        <w:t xml:space="preserve">Dimensión II. Estrategias de apoyo al aprendizaje, compuesta por 14 ítems: </w:t>
      </w:r>
    </w:p>
    <w:p w14:paraId="147D453B" w14:textId="77777777" w:rsidR="0093626A" w:rsidRDefault="00000000" w:rsidP="005915A7">
      <w:pPr>
        <w:pStyle w:val="Prrafodelista"/>
        <w:numPr>
          <w:ilvl w:val="0"/>
          <w:numId w:val="2"/>
        </w:numPr>
        <w:spacing w:after="0" w:line="360" w:lineRule="auto"/>
        <w:jc w:val="both"/>
        <w:rPr>
          <w:rFonts w:ascii="Arial" w:hAnsi="Arial" w:cs="Arial"/>
          <w:sz w:val="24"/>
          <w:szCs w:val="24"/>
        </w:rPr>
      </w:pPr>
      <w:r>
        <w:rPr>
          <w:rFonts w:ascii="Arial" w:hAnsi="Arial" w:cs="Arial"/>
          <w:sz w:val="24"/>
          <w:szCs w:val="24"/>
        </w:rPr>
        <w:t xml:space="preserve">VII (F4). Motivación intrínseca, ítems ap31, ap32, ap30 y ap21. </w:t>
      </w:r>
    </w:p>
    <w:p w14:paraId="24D5994A" w14:textId="77777777" w:rsidR="0093626A" w:rsidRDefault="00000000" w:rsidP="005915A7">
      <w:pPr>
        <w:pStyle w:val="Prrafodelista"/>
        <w:numPr>
          <w:ilvl w:val="0"/>
          <w:numId w:val="2"/>
        </w:numPr>
        <w:spacing w:after="0" w:line="360" w:lineRule="auto"/>
        <w:jc w:val="both"/>
        <w:rPr>
          <w:rFonts w:ascii="Arial" w:hAnsi="Arial" w:cs="Arial"/>
          <w:sz w:val="24"/>
          <w:szCs w:val="24"/>
        </w:rPr>
      </w:pPr>
      <w:r>
        <w:rPr>
          <w:rFonts w:ascii="Arial" w:hAnsi="Arial" w:cs="Arial"/>
          <w:sz w:val="24"/>
          <w:szCs w:val="24"/>
        </w:rPr>
        <w:t xml:space="preserve">VIII (F13). Control de la ansiedad, ítems ap18. </w:t>
      </w:r>
    </w:p>
    <w:p w14:paraId="31666FD8" w14:textId="77777777" w:rsidR="0093626A" w:rsidRDefault="00000000" w:rsidP="005915A7">
      <w:pPr>
        <w:pStyle w:val="Prrafodelista"/>
        <w:numPr>
          <w:ilvl w:val="0"/>
          <w:numId w:val="2"/>
        </w:numPr>
        <w:spacing w:after="0" w:line="360" w:lineRule="auto"/>
        <w:jc w:val="both"/>
        <w:rPr>
          <w:rFonts w:ascii="Arial" w:hAnsi="Arial" w:cs="Arial"/>
          <w:sz w:val="24"/>
          <w:szCs w:val="24"/>
        </w:rPr>
      </w:pPr>
      <w:r>
        <w:rPr>
          <w:rFonts w:ascii="Arial" w:hAnsi="Arial" w:cs="Arial"/>
          <w:sz w:val="24"/>
          <w:szCs w:val="24"/>
        </w:rPr>
        <w:t xml:space="preserve">IX (F11). Condiciones contradictorias, ítems ap22, ap23. </w:t>
      </w:r>
    </w:p>
    <w:p w14:paraId="41DD81A4" w14:textId="77777777" w:rsidR="0093626A" w:rsidRDefault="00000000" w:rsidP="005915A7">
      <w:pPr>
        <w:pStyle w:val="Prrafodelista"/>
        <w:numPr>
          <w:ilvl w:val="0"/>
          <w:numId w:val="2"/>
        </w:numPr>
        <w:spacing w:after="0" w:line="360" w:lineRule="auto"/>
        <w:jc w:val="both"/>
        <w:rPr>
          <w:rFonts w:ascii="Arial" w:hAnsi="Arial" w:cs="Arial"/>
          <w:sz w:val="24"/>
          <w:szCs w:val="24"/>
          <w:lang w:val="en-US"/>
        </w:rPr>
      </w:pPr>
      <w:r>
        <w:rPr>
          <w:rFonts w:ascii="Arial" w:hAnsi="Arial" w:cs="Arial"/>
          <w:sz w:val="24"/>
          <w:szCs w:val="24"/>
          <w:lang w:val="en-US"/>
        </w:rPr>
        <w:t xml:space="preserve">X(F8). Apoyo social, ítems ap25, ap27, co9, ap26, ap29. </w:t>
      </w:r>
    </w:p>
    <w:p w14:paraId="69C3580D" w14:textId="77777777" w:rsidR="0093626A" w:rsidRDefault="00000000" w:rsidP="005915A7">
      <w:pPr>
        <w:pStyle w:val="Prrafodelista"/>
        <w:numPr>
          <w:ilvl w:val="0"/>
          <w:numId w:val="2"/>
        </w:numPr>
        <w:spacing w:after="0" w:line="360" w:lineRule="auto"/>
        <w:jc w:val="both"/>
        <w:rPr>
          <w:rFonts w:ascii="Arial" w:hAnsi="Arial" w:cs="Arial"/>
          <w:sz w:val="24"/>
          <w:szCs w:val="24"/>
        </w:rPr>
      </w:pPr>
      <w:r>
        <w:rPr>
          <w:rFonts w:ascii="Arial" w:hAnsi="Arial" w:cs="Arial"/>
          <w:sz w:val="24"/>
          <w:szCs w:val="24"/>
        </w:rPr>
        <w:lastRenderedPageBreak/>
        <w:t xml:space="preserve">XI (F10). Horario y plan de trabajo, ítems ap10 y ap12. </w:t>
      </w:r>
    </w:p>
    <w:p w14:paraId="0615E502" w14:textId="77777777" w:rsidR="0093626A" w:rsidRDefault="00000000" w:rsidP="005915A7">
      <w:pPr>
        <w:spacing w:after="0" w:line="360" w:lineRule="auto"/>
        <w:jc w:val="both"/>
        <w:rPr>
          <w:rFonts w:ascii="Arial" w:hAnsi="Arial" w:cs="Arial"/>
          <w:sz w:val="24"/>
          <w:szCs w:val="24"/>
        </w:rPr>
      </w:pPr>
      <w:r>
        <w:rPr>
          <w:rFonts w:ascii="Arial" w:hAnsi="Arial" w:cs="Arial"/>
          <w:sz w:val="24"/>
          <w:szCs w:val="24"/>
        </w:rPr>
        <w:t xml:space="preserve"> Dimensión III. Hábitos de estudio, compuesta por 5 ítems: </w:t>
      </w:r>
    </w:p>
    <w:p w14:paraId="10FF41FD" w14:textId="77777777" w:rsidR="0093626A" w:rsidRDefault="00000000" w:rsidP="005915A7">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t xml:space="preserve">XII (F6). Comprensión, ítems re12, co25, ad15. </w:t>
      </w:r>
    </w:p>
    <w:p w14:paraId="2B934C98" w14:textId="77777777" w:rsidR="0093626A" w:rsidRDefault="00000000" w:rsidP="005915A7">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t xml:space="preserve">XIII (F12). Hábitos de estudio, ítems ad3 y ad20.  </w:t>
      </w:r>
    </w:p>
    <w:p w14:paraId="4CEE3A36" w14:textId="77777777" w:rsidR="0093626A" w:rsidRDefault="0093626A" w:rsidP="005915A7">
      <w:pPr>
        <w:spacing w:after="0" w:line="360" w:lineRule="auto"/>
        <w:jc w:val="both"/>
        <w:rPr>
          <w:rFonts w:ascii="Arial" w:hAnsi="Arial" w:cs="Arial"/>
          <w:sz w:val="24"/>
          <w:szCs w:val="24"/>
        </w:rPr>
      </w:pPr>
    </w:p>
    <w:p w14:paraId="6A3BFF08" w14:textId="77777777" w:rsidR="0093626A" w:rsidRDefault="00000000" w:rsidP="005915A7">
      <w:pPr>
        <w:spacing w:after="0" w:line="360" w:lineRule="auto"/>
        <w:ind w:firstLine="720"/>
        <w:jc w:val="both"/>
        <w:rPr>
          <w:rFonts w:ascii="Arial" w:hAnsi="Arial" w:cs="Arial"/>
          <w:sz w:val="24"/>
          <w:szCs w:val="24"/>
        </w:rPr>
      </w:pPr>
      <w:r>
        <w:rPr>
          <w:rFonts w:ascii="Arial" w:hAnsi="Arial" w:cs="Arial"/>
          <w:sz w:val="24"/>
          <w:szCs w:val="24"/>
        </w:rPr>
        <w:t>Para contestar el objetivo de esta investigación se tomó la dimensión II del inventario ya que permite identificar procesos metacognitivos que suceden durante el procesamiento de la información que optimizan o entorpecen las estrategias de aprendizaje. La técnica de análisis usada fue descriptiva, de regresión múltiple, usando media, moda, mediana, cuartil, percentil, baremos, Coeficiente de Correlación R de Pearson, frecuencias, desviación estándar.</w:t>
      </w:r>
    </w:p>
    <w:p w14:paraId="77EE4617" w14:textId="77777777" w:rsidR="006E7A7E" w:rsidRDefault="006E7A7E" w:rsidP="006E7A7E">
      <w:pPr>
        <w:spacing w:after="0" w:line="360" w:lineRule="auto"/>
        <w:ind w:firstLine="360"/>
        <w:jc w:val="both"/>
        <w:rPr>
          <w:rFonts w:ascii="Arial" w:hAnsi="Arial" w:cs="Arial"/>
          <w:sz w:val="24"/>
          <w:szCs w:val="24"/>
        </w:rPr>
      </w:pPr>
    </w:p>
    <w:p w14:paraId="00913D31" w14:textId="77777777" w:rsidR="0093626A" w:rsidRDefault="00000000" w:rsidP="005915A7">
      <w:pPr>
        <w:spacing w:after="0" w:line="360" w:lineRule="auto"/>
        <w:jc w:val="both"/>
        <w:rPr>
          <w:rFonts w:ascii="Arial" w:hAnsi="Arial" w:cs="Arial"/>
          <w:b/>
          <w:bCs/>
          <w:sz w:val="24"/>
          <w:szCs w:val="24"/>
        </w:rPr>
      </w:pPr>
      <w:r>
        <w:rPr>
          <w:rFonts w:ascii="Arial" w:hAnsi="Arial" w:cs="Arial"/>
          <w:b/>
          <w:bCs/>
          <w:sz w:val="24"/>
          <w:szCs w:val="24"/>
        </w:rPr>
        <w:t>Resultados</w:t>
      </w:r>
    </w:p>
    <w:p w14:paraId="3C628D34" w14:textId="77777777" w:rsidR="006E7A7E" w:rsidRDefault="006E7A7E" w:rsidP="005915A7">
      <w:pPr>
        <w:spacing w:after="0" w:line="360" w:lineRule="auto"/>
        <w:jc w:val="both"/>
        <w:rPr>
          <w:rFonts w:ascii="Arial" w:hAnsi="Arial" w:cs="Arial"/>
          <w:sz w:val="24"/>
          <w:szCs w:val="24"/>
        </w:rPr>
      </w:pPr>
    </w:p>
    <w:p w14:paraId="5EE538EC" w14:textId="32D8A5EF" w:rsidR="0093626A" w:rsidRDefault="00000000" w:rsidP="005915A7">
      <w:pPr>
        <w:spacing w:after="0" w:line="360" w:lineRule="auto"/>
        <w:jc w:val="both"/>
        <w:rPr>
          <w:rFonts w:ascii="Arial" w:hAnsi="Arial" w:cs="Arial"/>
          <w:sz w:val="24"/>
          <w:szCs w:val="24"/>
        </w:rPr>
      </w:pPr>
      <w:r>
        <w:rPr>
          <w:rFonts w:ascii="Arial" w:hAnsi="Arial" w:cs="Arial"/>
          <w:sz w:val="24"/>
          <w:szCs w:val="24"/>
        </w:rPr>
        <w:t>De una población de 817 estudiantes de segundo semestre, se seleccionó a una muestra de 472 alumnos, de ellos, 171 hombres y 301 mujeres. El análisis se realizó utilizando el programa Statgraphics Centurion mediante un modelo estadístico de regresión lineal múltiple con la variable dependiente: calificación de examen final de asignatura e independientes: factores motivación, control de ansiedad, condiciones contradistractorias, apoyo social, y, horario y plan de trabajo de la escala de estrategias de aprendizaje ACRA-Abreviada para alumnos universitarios elaborada por De La Fuente y Justicia del 2017.</w:t>
      </w:r>
    </w:p>
    <w:p w14:paraId="1AC59173" w14:textId="77777777" w:rsidR="0093626A" w:rsidRDefault="0093626A" w:rsidP="005915A7">
      <w:pPr>
        <w:spacing w:after="0" w:line="360" w:lineRule="auto"/>
        <w:jc w:val="both"/>
        <w:rPr>
          <w:rFonts w:ascii="Arial" w:hAnsi="Arial" w:cs="Arial"/>
          <w:i/>
          <w:iCs/>
          <w:sz w:val="24"/>
          <w:szCs w:val="24"/>
        </w:rPr>
      </w:pPr>
    </w:p>
    <w:p w14:paraId="2869B44F" w14:textId="77777777" w:rsidR="0093626A" w:rsidRDefault="00000000" w:rsidP="005915A7">
      <w:pPr>
        <w:spacing w:after="0" w:line="360" w:lineRule="auto"/>
        <w:jc w:val="both"/>
        <w:rPr>
          <w:rFonts w:ascii="Arial" w:hAnsi="Arial" w:cs="Arial"/>
          <w:i/>
          <w:iCs/>
          <w:sz w:val="24"/>
          <w:szCs w:val="24"/>
        </w:rPr>
      </w:pPr>
      <w:r>
        <w:rPr>
          <w:rFonts w:ascii="Arial" w:hAnsi="Arial" w:cs="Arial"/>
          <w:i/>
          <w:iCs/>
          <w:sz w:val="24"/>
          <w:szCs w:val="24"/>
        </w:rPr>
        <w:t>Calificaciones</w:t>
      </w:r>
    </w:p>
    <w:p w14:paraId="7A36F1C5" w14:textId="77777777" w:rsidR="0093626A" w:rsidRDefault="00000000" w:rsidP="005915A7">
      <w:pPr>
        <w:spacing w:after="0" w:line="360" w:lineRule="auto"/>
        <w:jc w:val="both"/>
        <w:rPr>
          <w:rFonts w:ascii="Arial" w:hAnsi="Arial" w:cs="Arial"/>
          <w:sz w:val="24"/>
          <w:szCs w:val="24"/>
        </w:rPr>
      </w:pPr>
      <w:r>
        <w:rPr>
          <w:rFonts w:ascii="Arial" w:hAnsi="Arial" w:cs="Arial"/>
          <w:sz w:val="24"/>
          <w:szCs w:val="24"/>
        </w:rPr>
        <w:tab/>
        <w:t xml:space="preserve">Con una mediana de 60, moda 60 y media de 59.7, se dividió el nivel de calificaciones en tres cuartiles para poder obtener percentiles y clasificarlos. En la gráfica 1 se puede observar la distribución del nivel de calificaciones de la muestra en la que notablemente se aprecia que predominan calificaciones determinadas como bajas, es decir aquellas </w:t>
      </w:r>
      <w:r>
        <w:rPr>
          <w:rStyle w:val="normaltextrun"/>
          <w:rFonts w:ascii="Arial" w:hAnsi="Arial" w:cs="Arial"/>
          <w:color w:val="000000" w:themeColor="text1"/>
          <w:sz w:val="24"/>
          <w:szCs w:val="24"/>
        </w:rPr>
        <w:t>correspondientes a una nota inferior a 72.9.</w:t>
      </w:r>
    </w:p>
    <w:p w14:paraId="2FD611EE" w14:textId="77777777" w:rsidR="0093626A" w:rsidRDefault="00000000" w:rsidP="005915A7">
      <w:pPr>
        <w:spacing w:after="0" w:line="360" w:lineRule="auto"/>
        <w:jc w:val="both"/>
        <w:rPr>
          <w:rFonts w:ascii="Arial" w:hAnsi="Arial" w:cs="Arial"/>
          <w:b/>
          <w:bCs/>
          <w:sz w:val="24"/>
          <w:szCs w:val="24"/>
        </w:rPr>
      </w:pPr>
      <w:r>
        <w:rPr>
          <w:rFonts w:ascii="Arial" w:hAnsi="Arial" w:cs="Arial"/>
          <w:b/>
          <w:bCs/>
          <w:sz w:val="24"/>
          <w:szCs w:val="24"/>
        </w:rPr>
        <w:t>Gráfica 1</w:t>
      </w:r>
    </w:p>
    <w:p w14:paraId="427AAC94" w14:textId="77777777" w:rsidR="0093626A" w:rsidRDefault="00000000" w:rsidP="005915A7">
      <w:pPr>
        <w:spacing w:after="0" w:line="360" w:lineRule="auto"/>
        <w:jc w:val="both"/>
        <w:rPr>
          <w:rFonts w:ascii="Arial" w:hAnsi="Arial" w:cs="Arial"/>
          <w:i/>
          <w:iCs/>
          <w:sz w:val="24"/>
          <w:szCs w:val="24"/>
        </w:rPr>
      </w:pPr>
      <w:r>
        <w:rPr>
          <w:rFonts w:ascii="Arial" w:hAnsi="Arial" w:cs="Arial"/>
          <w:i/>
          <w:iCs/>
          <w:sz w:val="24"/>
          <w:szCs w:val="24"/>
        </w:rPr>
        <w:t>Distribución del nivel de rendimiento académico en universitarios</w:t>
      </w:r>
    </w:p>
    <w:p w14:paraId="773B90CA" w14:textId="77777777" w:rsidR="0093626A" w:rsidRPr="00634580" w:rsidRDefault="00000000" w:rsidP="00634580">
      <w:pPr>
        <w:spacing w:after="0" w:line="360" w:lineRule="auto"/>
        <w:jc w:val="center"/>
        <w:rPr>
          <w:rFonts w:ascii="Arial" w:eastAsia="Times New Roman" w:hAnsi="Arial" w:cs="Arial"/>
          <w:kern w:val="0"/>
          <w:sz w:val="24"/>
          <w:szCs w:val="24"/>
          <w:lang w:eastAsia="es-MX"/>
          <w14:ligatures w14:val="none"/>
        </w:rPr>
      </w:pPr>
      <w:r w:rsidRPr="00634580">
        <w:rPr>
          <w:rFonts w:ascii="Arial" w:hAnsi="Arial" w:cs="Arial"/>
          <w:noProof/>
          <w:sz w:val="24"/>
          <w:szCs w:val="24"/>
        </w:rPr>
        <w:lastRenderedPageBreak/>
        <w:drawing>
          <wp:inline distT="0" distB="0" distL="0" distR="0" wp14:anchorId="624463DD" wp14:editId="74B80107">
            <wp:extent cx="5205730" cy="2545715"/>
            <wp:effectExtent l="0" t="0" r="7620" b="0"/>
            <wp:docPr id="1955475440" name="Picture 1955475440"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475440" name="Picture 1955475440" descr="Gráfico, Gráfico circular&#10;&#10;Descripción generada automáticamente"/>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206348" cy="2546033"/>
                    </a:xfrm>
                    <a:prstGeom prst="rect">
                      <a:avLst/>
                    </a:prstGeom>
                  </pic:spPr>
                </pic:pic>
              </a:graphicData>
            </a:graphic>
          </wp:inline>
        </w:drawing>
      </w:r>
    </w:p>
    <w:p w14:paraId="432E8C38" w14:textId="77777777" w:rsidR="0093626A" w:rsidRPr="00634580" w:rsidRDefault="00000000" w:rsidP="00634580">
      <w:pPr>
        <w:spacing w:after="0" w:line="360" w:lineRule="auto"/>
        <w:jc w:val="both"/>
        <w:rPr>
          <w:rFonts w:ascii="Arial" w:hAnsi="Arial" w:cs="Arial"/>
          <w:sz w:val="20"/>
          <w:szCs w:val="20"/>
        </w:rPr>
      </w:pPr>
      <w:r>
        <w:rPr>
          <w:rStyle w:val="normaltextrun"/>
          <w:rFonts w:ascii="Arial" w:hAnsi="Arial" w:cs="Arial"/>
          <w:b/>
          <w:bCs/>
          <w:color w:val="000000"/>
          <w:sz w:val="20"/>
          <w:szCs w:val="20"/>
          <w:shd w:val="clear" w:color="auto" w:fill="FFFFFF"/>
        </w:rPr>
        <w:t>Nota:</w:t>
      </w:r>
      <w:r>
        <w:rPr>
          <w:rStyle w:val="normaltextrun"/>
          <w:rFonts w:ascii="Arial" w:hAnsi="Arial" w:cs="Arial"/>
          <w:color w:val="000000"/>
          <w:sz w:val="20"/>
          <w:szCs w:val="20"/>
          <w:shd w:val="clear" w:color="auto" w:fill="FFFFFF"/>
        </w:rPr>
        <w:t xml:space="preserve"> Distribución del nivel de calificaciones, el bajo engloba calificaciones por debajo del percentil 75, correspondiente a una nota inferior a 72.9, el medio calificaciones del percentil 75 que corresponde a una nota entre 73 a 89, y, el alto son aquellas calificaciones en el percentil 90 que corresponde a calificaciones por arriba de 90. En “</w:t>
      </w:r>
      <w:r>
        <w:rPr>
          <w:rFonts w:ascii="Arial" w:eastAsia="Arial" w:hAnsi="Arial" w:cs="Arial"/>
          <w:sz w:val="20"/>
          <w:szCs w:val="20"/>
        </w:rPr>
        <w:t>La globalización en ciencias de la educación como estrategia de apoyo al aprendizaje en estudiantes universitarios</w:t>
      </w:r>
      <w:r>
        <w:rPr>
          <w:rStyle w:val="normaltextrun"/>
          <w:rFonts w:ascii="Arial" w:hAnsi="Arial" w:cs="Arial"/>
          <w:color w:val="000000"/>
          <w:sz w:val="20"/>
          <w:szCs w:val="20"/>
          <w:shd w:val="clear" w:color="auto" w:fill="FFFFFF"/>
        </w:rPr>
        <w:t>”, elaboración propia (2023).</w:t>
      </w:r>
    </w:p>
    <w:p w14:paraId="6BC61D7A" w14:textId="77777777" w:rsidR="0093626A" w:rsidRDefault="0093626A" w:rsidP="005915A7">
      <w:pPr>
        <w:spacing w:after="0" w:line="360" w:lineRule="auto"/>
        <w:jc w:val="both"/>
        <w:rPr>
          <w:rFonts w:ascii="Arial" w:hAnsi="Arial" w:cs="Arial"/>
          <w:sz w:val="24"/>
          <w:szCs w:val="24"/>
        </w:rPr>
      </w:pPr>
    </w:p>
    <w:p w14:paraId="2A65C90F" w14:textId="77777777" w:rsidR="0093626A" w:rsidRDefault="00000000" w:rsidP="005915A7">
      <w:pPr>
        <w:spacing w:after="0" w:line="360" w:lineRule="auto"/>
        <w:jc w:val="both"/>
        <w:rPr>
          <w:rFonts w:ascii="Arial" w:hAnsi="Arial" w:cs="Arial"/>
          <w:i/>
          <w:iCs/>
          <w:sz w:val="24"/>
          <w:szCs w:val="24"/>
        </w:rPr>
      </w:pPr>
      <w:r>
        <w:rPr>
          <w:rFonts w:ascii="Arial" w:hAnsi="Arial" w:cs="Arial"/>
          <w:i/>
          <w:iCs/>
          <w:sz w:val="24"/>
          <w:szCs w:val="24"/>
        </w:rPr>
        <w:t>Dimensión II de apoyo al aprendizaje</w:t>
      </w:r>
    </w:p>
    <w:p w14:paraId="1DDF021E" w14:textId="77777777" w:rsidR="0093626A" w:rsidRDefault="00000000" w:rsidP="005915A7">
      <w:pPr>
        <w:spacing w:after="0" w:line="360" w:lineRule="auto"/>
        <w:ind w:firstLine="708"/>
        <w:jc w:val="both"/>
        <w:rPr>
          <w:rFonts w:ascii="Arial" w:hAnsi="Arial" w:cs="Arial"/>
          <w:b/>
          <w:bCs/>
          <w:sz w:val="24"/>
          <w:szCs w:val="24"/>
        </w:rPr>
      </w:pPr>
      <w:r>
        <w:rPr>
          <w:rFonts w:ascii="Arial" w:hAnsi="Arial" w:cs="Arial"/>
          <w:sz w:val="24"/>
          <w:szCs w:val="24"/>
        </w:rPr>
        <w:t xml:space="preserve">De las tres dimensiones del inventario, se analizó la dimensión II estrategias de apoyo al aprendizaje por la relación de apoyo socio afectivo como componente de la globalización en las ciencias de la educación. En un primer análisis, como se muestra en la tabla 2, se establecieron baremos para los factores de la dimensión, y se clasificaron estadificados en niveles bajo, medio y alto, según el puntaje obtenido en cada uno, para señalar el nivel en que los estudiantes de la muestra implementan los factores de la dimensión analizada. En la tabla 3 se muestra la cantidad de alumnos que implementan cada factor en su vida escolar, destacando que la mayoría de los estudiantes aplican en un nivel medio todos los factores a excepción del factor llamado apoyo social en el que hay un alto nivel en su aplicación. </w:t>
      </w:r>
    </w:p>
    <w:p w14:paraId="521AD6CE" w14:textId="77777777" w:rsidR="0093626A" w:rsidRDefault="0093626A" w:rsidP="005915A7">
      <w:pPr>
        <w:spacing w:after="0" w:line="360" w:lineRule="auto"/>
        <w:jc w:val="both"/>
        <w:rPr>
          <w:rFonts w:ascii="Arial" w:hAnsi="Arial" w:cs="Arial"/>
          <w:b/>
          <w:bCs/>
          <w:sz w:val="24"/>
          <w:szCs w:val="24"/>
        </w:rPr>
      </w:pPr>
    </w:p>
    <w:p w14:paraId="6AAF7C5E" w14:textId="77777777" w:rsidR="0093626A" w:rsidRDefault="00000000" w:rsidP="005915A7">
      <w:pPr>
        <w:spacing w:after="0" w:line="360" w:lineRule="auto"/>
        <w:jc w:val="both"/>
        <w:rPr>
          <w:rFonts w:ascii="Arial" w:hAnsi="Arial" w:cs="Arial"/>
          <w:b/>
          <w:bCs/>
          <w:sz w:val="24"/>
          <w:szCs w:val="24"/>
        </w:rPr>
      </w:pPr>
      <w:r>
        <w:rPr>
          <w:rFonts w:ascii="Arial" w:hAnsi="Arial" w:cs="Arial"/>
          <w:b/>
          <w:bCs/>
          <w:sz w:val="24"/>
          <w:szCs w:val="24"/>
        </w:rPr>
        <w:t xml:space="preserve">Tabla 2 </w:t>
      </w:r>
    </w:p>
    <w:p w14:paraId="694312B0" w14:textId="77777777" w:rsidR="0093626A" w:rsidRDefault="00000000" w:rsidP="005915A7">
      <w:pPr>
        <w:spacing w:after="0" w:line="360" w:lineRule="auto"/>
        <w:jc w:val="both"/>
        <w:rPr>
          <w:rFonts w:ascii="Arial" w:hAnsi="Arial" w:cs="Arial"/>
          <w:i/>
          <w:iCs/>
          <w:sz w:val="24"/>
          <w:szCs w:val="24"/>
        </w:rPr>
      </w:pPr>
      <w:r>
        <w:rPr>
          <w:rFonts w:ascii="Arial" w:hAnsi="Arial" w:cs="Arial"/>
          <w:i/>
          <w:iCs/>
          <w:sz w:val="24"/>
          <w:szCs w:val="24"/>
        </w:rPr>
        <w:t>Distribución de baremos en los factores de la dimensión ii estrategias de apoyo al aprendizaje</w:t>
      </w:r>
    </w:p>
    <w:tbl>
      <w:tblPr>
        <w:tblW w:w="8838" w:type="dxa"/>
        <w:tblCellMar>
          <w:top w:w="15" w:type="dxa"/>
          <w:left w:w="70" w:type="dxa"/>
          <w:bottom w:w="15" w:type="dxa"/>
          <w:right w:w="70" w:type="dxa"/>
        </w:tblCellMar>
        <w:tblLook w:val="04A0" w:firstRow="1" w:lastRow="0" w:firstColumn="1" w:lastColumn="0" w:noHBand="0" w:noVBand="1"/>
      </w:tblPr>
      <w:tblGrid>
        <w:gridCol w:w="1020"/>
        <w:gridCol w:w="1430"/>
        <w:gridCol w:w="1387"/>
        <w:gridCol w:w="2400"/>
        <w:gridCol w:w="999"/>
        <w:gridCol w:w="1602"/>
      </w:tblGrid>
      <w:tr w:rsidR="0093626A" w14:paraId="033F97DD" w14:textId="77777777">
        <w:trPr>
          <w:trHeight w:val="300"/>
        </w:trPr>
        <w:tc>
          <w:tcPr>
            <w:tcW w:w="1020" w:type="dxa"/>
            <w:tcBorders>
              <w:top w:val="single" w:sz="4" w:space="0" w:color="auto"/>
              <w:left w:val="nil"/>
              <w:bottom w:val="single" w:sz="4" w:space="0" w:color="auto"/>
              <w:right w:val="single" w:sz="4" w:space="0" w:color="auto"/>
            </w:tcBorders>
            <w:shd w:val="clear" w:color="auto" w:fill="D0CECE" w:themeFill="background2" w:themeFillShade="E6"/>
            <w:noWrap/>
            <w:vAlign w:val="center"/>
          </w:tcPr>
          <w:p w14:paraId="4D30E365" w14:textId="77777777" w:rsidR="0093626A" w:rsidRDefault="00000000" w:rsidP="005915A7">
            <w:pPr>
              <w:spacing w:after="0" w:line="360" w:lineRule="auto"/>
              <w:jc w:val="center"/>
              <w:rPr>
                <w:rFonts w:ascii="Arial" w:eastAsia="Times New Roman" w:hAnsi="Arial" w:cs="Arial"/>
                <w:b/>
                <w:bCs/>
                <w:kern w:val="0"/>
                <w:sz w:val="24"/>
                <w:szCs w:val="24"/>
                <w:lang w:eastAsia="es-MX"/>
                <w14:ligatures w14:val="none"/>
              </w:rPr>
            </w:pPr>
            <w:r>
              <w:rPr>
                <w:rFonts w:ascii="Arial" w:eastAsia="Times New Roman" w:hAnsi="Arial" w:cs="Arial"/>
                <w:b/>
                <w:bCs/>
                <w:kern w:val="0"/>
                <w:sz w:val="24"/>
                <w:szCs w:val="24"/>
                <w:lang w:eastAsia="es-MX"/>
                <w14:ligatures w14:val="none"/>
              </w:rPr>
              <w:lastRenderedPageBreak/>
              <w:t>Nivel</w:t>
            </w:r>
          </w:p>
        </w:tc>
        <w:tc>
          <w:tcPr>
            <w:tcW w:w="1430" w:type="dxa"/>
            <w:tcBorders>
              <w:top w:val="single" w:sz="4" w:space="0" w:color="auto"/>
              <w:left w:val="single" w:sz="4" w:space="0" w:color="auto"/>
              <w:bottom w:val="single" w:sz="4" w:space="0" w:color="auto"/>
              <w:right w:val="nil"/>
            </w:tcBorders>
            <w:shd w:val="clear" w:color="auto" w:fill="D0CECE" w:themeFill="background2" w:themeFillShade="E6"/>
            <w:noWrap/>
            <w:vAlign w:val="center"/>
          </w:tcPr>
          <w:p w14:paraId="67908463" w14:textId="77777777" w:rsidR="0093626A" w:rsidRDefault="00000000" w:rsidP="005915A7">
            <w:pPr>
              <w:spacing w:after="0" w:line="360" w:lineRule="auto"/>
              <w:jc w:val="center"/>
              <w:rPr>
                <w:rFonts w:ascii="Arial" w:eastAsia="Times New Roman" w:hAnsi="Arial" w:cs="Arial"/>
                <w:b/>
                <w:bCs/>
                <w:color w:val="000000"/>
                <w:kern w:val="0"/>
                <w:sz w:val="24"/>
                <w:szCs w:val="24"/>
                <w:lang w:eastAsia="es-MX"/>
                <w14:ligatures w14:val="none"/>
              </w:rPr>
            </w:pPr>
            <w:r>
              <w:rPr>
                <w:rFonts w:ascii="Arial" w:eastAsia="Times New Roman" w:hAnsi="Arial" w:cs="Arial"/>
                <w:b/>
                <w:bCs/>
                <w:color w:val="000000"/>
                <w:kern w:val="0"/>
                <w:sz w:val="24"/>
                <w:szCs w:val="24"/>
                <w:lang w:eastAsia="es-MX"/>
                <w14:ligatures w14:val="none"/>
              </w:rPr>
              <w:t>Motivación</w:t>
            </w:r>
          </w:p>
        </w:tc>
        <w:tc>
          <w:tcPr>
            <w:tcW w:w="1387" w:type="dxa"/>
            <w:tcBorders>
              <w:top w:val="single" w:sz="4" w:space="0" w:color="auto"/>
              <w:left w:val="nil"/>
              <w:bottom w:val="single" w:sz="4" w:space="0" w:color="auto"/>
              <w:right w:val="nil"/>
            </w:tcBorders>
            <w:shd w:val="clear" w:color="auto" w:fill="D0CECE" w:themeFill="background2" w:themeFillShade="E6"/>
            <w:noWrap/>
            <w:vAlign w:val="center"/>
          </w:tcPr>
          <w:p w14:paraId="2E33BCFB" w14:textId="77777777" w:rsidR="0093626A" w:rsidRDefault="00000000" w:rsidP="005915A7">
            <w:pPr>
              <w:spacing w:after="0" w:line="360" w:lineRule="auto"/>
              <w:jc w:val="center"/>
              <w:rPr>
                <w:rFonts w:ascii="Arial" w:eastAsia="Times New Roman" w:hAnsi="Arial" w:cs="Arial"/>
                <w:b/>
                <w:bCs/>
                <w:color w:val="000000"/>
                <w:kern w:val="0"/>
                <w:sz w:val="24"/>
                <w:szCs w:val="24"/>
                <w:lang w:eastAsia="es-MX"/>
                <w14:ligatures w14:val="none"/>
              </w:rPr>
            </w:pPr>
            <w:r>
              <w:rPr>
                <w:rFonts w:ascii="Arial" w:eastAsia="Times New Roman" w:hAnsi="Arial" w:cs="Arial"/>
                <w:b/>
                <w:bCs/>
                <w:color w:val="000000"/>
                <w:kern w:val="0"/>
                <w:sz w:val="24"/>
                <w:szCs w:val="24"/>
                <w:lang w:eastAsia="es-MX"/>
                <w14:ligatures w14:val="none"/>
              </w:rPr>
              <w:t>Control de ansiedad</w:t>
            </w:r>
          </w:p>
        </w:tc>
        <w:tc>
          <w:tcPr>
            <w:tcW w:w="2400" w:type="dxa"/>
            <w:tcBorders>
              <w:top w:val="single" w:sz="4" w:space="0" w:color="auto"/>
              <w:left w:val="nil"/>
              <w:bottom w:val="single" w:sz="4" w:space="0" w:color="auto"/>
              <w:right w:val="nil"/>
            </w:tcBorders>
            <w:shd w:val="clear" w:color="auto" w:fill="D0CECE" w:themeFill="background2" w:themeFillShade="E6"/>
            <w:noWrap/>
            <w:vAlign w:val="center"/>
          </w:tcPr>
          <w:p w14:paraId="11E5BC0F" w14:textId="77777777" w:rsidR="0093626A" w:rsidRDefault="00000000" w:rsidP="005915A7">
            <w:pPr>
              <w:spacing w:after="0" w:line="360" w:lineRule="auto"/>
              <w:jc w:val="center"/>
              <w:rPr>
                <w:rFonts w:ascii="Arial" w:eastAsia="Times New Roman" w:hAnsi="Arial" w:cs="Arial"/>
                <w:b/>
                <w:bCs/>
                <w:color w:val="000000"/>
                <w:kern w:val="0"/>
                <w:sz w:val="24"/>
                <w:szCs w:val="24"/>
                <w:lang w:eastAsia="es-MX"/>
                <w14:ligatures w14:val="none"/>
              </w:rPr>
            </w:pPr>
            <w:r>
              <w:rPr>
                <w:rFonts w:ascii="Arial" w:eastAsia="Times New Roman" w:hAnsi="Arial" w:cs="Arial"/>
                <w:b/>
                <w:bCs/>
                <w:color w:val="000000"/>
                <w:kern w:val="0"/>
                <w:sz w:val="24"/>
                <w:szCs w:val="24"/>
                <w:lang w:eastAsia="es-MX"/>
                <w14:ligatures w14:val="none"/>
              </w:rPr>
              <w:t>Condiciones contradistractorias</w:t>
            </w:r>
          </w:p>
        </w:tc>
        <w:tc>
          <w:tcPr>
            <w:tcW w:w="999" w:type="dxa"/>
            <w:tcBorders>
              <w:top w:val="single" w:sz="4" w:space="0" w:color="auto"/>
              <w:left w:val="nil"/>
              <w:bottom w:val="single" w:sz="4" w:space="0" w:color="auto"/>
              <w:right w:val="nil"/>
            </w:tcBorders>
            <w:shd w:val="clear" w:color="auto" w:fill="D0CECE" w:themeFill="background2" w:themeFillShade="E6"/>
            <w:noWrap/>
            <w:vAlign w:val="center"/>
          </w:tcPr>
          <w:p w14:paraId="356C3AE1" w14:textId="77777777" w:rsidR="0093626A" w:rsidRDefault="00000000" w:rsidP="005915A7">
            <w:pPr>
              <w:spacing w:after="0" w:line="360" w:lineRule="auto"/>
              <w:jc w:val="center"/>
              <w:rPr>
                <w:rFonts w:ascii="Arial" w:eastAsia="Times New Roman" w:hAnsi="Arial" w:cs="Arial"/>
                <w:b/>
                <w:bCs/>
                <w:color w:val="000000"/>
                <w:kern w:val="0"/>
                <w:sz w:val="24"/>
                <w:szCs w:val="24"/>
                <w:lang w:eastAsia="es-MX"/>
                <w14:ligatures w14:val="none"/>
              </w:rPr>
            </w:pPr>
            <w:r>
              <w:rPr>
                <w:rFonts w:ascii="Arial" w:eastAsia="Times New Roman" w:hAnsi="Arial" w:cs="Arial"/>
                <w:b/>
                <w:bCs/>
                <w:color w:val="000000"/>
                <w:kern w:val="0"/>
                <w:sz w:val="24"/>
                <w:szCs w:val="24"/>
                <w:lang w:eastAsia="es-MX"/>
                <w14:ligatures w14:val="none"/>
              </w:rPr>
              <w:t>Apoyo social</w:t>
            </w:r>
          </w:p>
        </w:tc>
        <w:tc>
          <w:tcPr>
            <w:tcW w:w="1602" w:type="dxa"/>
            <w:tcBorders>
              <w:top w:val="single" w:sz="4" w:space="0" w:color="auto"/>
              <w:left w:val="nil"/>
              <w:bottom w:val="single" w:sz="4" w:space="0" w:color="auto"/>
              <w:right w:val="nil"/>
            </w:tcBorders>
            <w:shd w:val="clear" w:color="auto" w:fill="D0CECE" w:themeFill="background2" w:themeFillShade="E6"/>
            <w:noWrap/>
            <w:vAlign w:val="center"/>
          </w:tcPr>
          <w:p w14:paraId="141BA2C2" w14:textId="77777777" w:rsidR="0093626A" w:rsidRDefault="00000000" w:rsidP="005915A7">
            <w:pPr>
              <w:spacing w:after="0" w:line="360" w:lineRule="auto"/>
              <w:jc w:val="center"/>
              <w:rPr>
                <w:rFonts w:ascii="Arial" w:eastAsia="Times New Roman" w:hAnsi="Arial" w:cs="Arial"/>
                <w:b/>
                <w:bCs/>
                <w:color w:val="000000"/>
                <w:kern w:val="0"/>
                <w:sz w:val="24"/>
                <w:szCs w:val="24"/>
                <w:lang w:eastAsia="es-MX"/>
                <w14:ligatures w14:val="none"/>
              </w:rPr>
            </w:pPr>
            <w:r>
              <w:rPr>
                <w:rFonts w:ascii="Arial" w:eastAsia="Times New Roman" w:hAnsi="Arial" w:cs="Arial"/>
                <w:b/>
                <w:bCs/>
                <w:color w:val="000000"/>
                <w:kern w:val="0"/>
                <w:sz w:val="24"/>
                <w:szCs w:val="24"/>
                <w:lang w:eastAsia="es-MX"/>
                <w14:ligatures w14:val="none"/>
              </w:rPr>
              <w:t>Horario y plan de trabajo</w:t>
            </w:r>
          </w:p>
        </w:tc>
      </w:tr>
      <w:tr w:rsidR="0093626A" w14:paraId="085F850D" w14:textId="77777777">
        <w:trPr>
          <w:trHeight w:val="300"/>
        </w:trPr>
        <w:tc>
          <w:tcPr>
            <w:tcW w:w="1020" w:type="dxa"/>
            <w:tcBorders>
              <w:top w:val="single" w:sz="4" w:space="0" w:color="auto"/>
              <w:left w:val="nil"/>
              <w:bottom w:val="nil"/>
              <w:right w:val="single" w:sz="4" w:space="0" w:color="auto"/>
            </w:tcBorders>
            <w:noWrap/>
            <w:vAlign w:val="center"/>
          </w:tcPr>
          <w:p w14:paraId="39B1B348" w14:textId="77777777" w:rsidR="0093626A" w:rsidRDefault="00000000" w:rsidP="005915A7">
            <w:pPr>
              <w:spacing w:after="0" w:line="360" w:lineRule="auto"/>
              <w:jc w:val="center"/>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Bajo</w:t>
            </w:r>
          </w:p>
        </w:tc>
        <w:tc>
          <w:tcPr>
            <w:tcW w:w="1430" w:type="dxa"/>
            <w:tcBorders>
              <w:top w:val="single" w:sz="4" w:space="0" w:color="auto"/>
              <w:left w:val="single" w:sz="4" w:space="0" w:color="auto"/>
              <w:bottom w:val="nil"/>
              <w:right w:val="nil"/>
            </w:tcBorders>
            <w:noWrap/>
            <w:vAlign w:val="center"/>
          </w:tcPr>
          <w:p w14:paraId="71379B43" w14:textId="77777777" w:rsidR="0093626A" w:rsidRDefault="00000000" w:rsidP="005915A7">
            <w:pPr>
              <w:spacing w:after="0" w:line="360" w:lineRule="auto"/>
              <w:jc w:val="center"/>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4 a 9</w:t>
            </w:r>
          </w:p>
        </w:tc>
        <w:tc>
          <w:tcPr>
            <w:tcW w:w="1387" w:type="dxa"/>
            <w:tcBorders>
              <w:top w:val="single" w:sz="4" w:space="0" w:color="auto"/>
              <w:left w:val="nil"/>
              <w:bottom w:val="nil"/>
              <w:right w:val="nil"/>
            </w:tcBorders>
            <w:noWrap/>
            <w:vAlign w:val="center"/>
          </w:tcPr>
          <w:p w14:paraId="7D4C3C77" w14:textId="77777777" w:rsidR="0093626A" w:rsidRDefault="00000000" w:rsidP="005915A7">
            <w:pPr>
              <w:spacing w:after="0" w:line="360" w:lineRule="auto"/>
              <w:jc w:val="center"/>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1 a 2</w:t>
            </w:r>
          </w:p>
        </w:tc>
        <w:tc>
          <w:tcPr>
            <w:tcW w:w="2400" w:type="dxa"/>
            <w:tcBorders>
              <w:top w:val="single" w:sz="4" w:space="0" w:color="auto"/>
              <w:left w:val="nil"/>
              <w:bottom w:val="nil"/>
              <w:right w:val="nil"/>
            </w:tcBorders>
            <w:noWrap/>
            <w:vAlign w:val="center"/>
          </w:tcPr>
          <w:p w14:paraId="70B8AD6B" w14:textId="77777777" w:rsidR="0093626A" w:rsidRDefault="00000000" w:rsidP="005915A7">
            <w:pPr>
              <w:spacing w:after="0" w:line="360" w:lineRule="auto"/>
              <w:jc w:val="center"/>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2 a 4</w:t>
            </w:r>
          </w:p>
        </w:tc>
        <w:tc>
          <w:tcPr>
            <w:tcW w:w="999" w:type="dxa"/>
            <w:tcBorders>
              <w:top w:val="single" w:sz="4" w:space="0" w:color="auto"/>
              <w:left w:val="nil"/>
              <w:bottom w:val="nil"/>
              <w:right w:val="nil"/>
            </w:tcBorders>
            <w:noWrap/>
            <w:vAlign w:val="center"/>
          </w:tcPr>
          <w:p w14:paraId="77E1DC60" w14:textId="77777777" w:rsidR="0093626A" w:rsidRDefault="00000000" w:rsidP="005915A7">
            <w:pPr>
              <w:spacing w:after="0" w:line="360" w:lineRule="auto"/>
              <w:jc w:val="center"/>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5 a 11</w:t>
            </w:r>
          </w:p>
        </w:tc>
        <w:tc>
          <w:tcPr>
            <w:tcW w:w="1602" w:type="dxa"/>
            <w:tcBorders>
              <w:top w:val="single" w:sz="4" w:space="0" w:color="auto"/>
              <w:left w:val="nil"/>
              <w:bottom w:val="nil"/>
              <w:right w:val="nil"/>
            </w:tcBorders>
            <w:noWrap/>
            <w:vAlign w:val="center"/>
          </w:tcPr>
          <w:p w14:paraId="2ED04E7B" w14:textId="77777777" w:rsidR="0093626A" w:rsidRDefault="00000000" w:rsidP="005915A7">
            <w:pPr>
              <w:spacing w:after="0" w:line="360" w:lineRule="auto"/>
              <w:jc w:val="center"/>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2 a 4</w:t>
            </w:r>
          </w:p>
        </w:tc>
      </w:tr>
      <w:tr w:rsidR="0093626A" w14:paraId="13E1DE9F" w14:textId="77777777">
        <w:trPr>
          <w:trHeight w:val="300"/>
        </w:trPr>
        <w:tc>
          <w:tcPr>
            <w:tcW w:w="1020" w:type="dxa"/>
            <w:tcBorders>
              <w:top w:val="nil"/>
              <w:left w:val="nil"/>
              <w:right w:val="single" w:sz="4" w:space="0" w:color="auto"/>
            </w:tcBorders>
            <w:noWrap/>
            <w:vAlign w:val="center"/>
          </w:tcPr>
          <w:p w14:paraId="537FF852" w14:textId="77777777" w:rsidR="0093626A" w:rsidRDefault="00000000" w:rsidP="005915A7">
            <w:pPr>
              <w:spacing w:after="0" w:line="360" w:lineRule="auto"/>
              <w:jc w:val="center"/>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Medio</w:t>
            </w:r>
          </w:p>
        </w:tc>
        <w:tc>
          <w:tcPr>
            <w:tcW w:w="1430" w:type="dxa"/>
            <w:tcBorders>
              <w:top w:val="nil"/>
              <w:left w:val="single" w:sz="4" w:space="0" w:color="auto"/>
              <w:right w:val="nil"/>
            </w:tcBorders>
            <w:noWrap/>
            <w:vAlign w:val="center"/>
          </w:tcPr>
          <w:p w14:paraId="6F664F42" w14:textId="77777777" w:rsidR="0093626A" w:rsidRDefault="00000000" w:rsidP="005915A7">
            <w:pPr>
              <w:spacing w:after="0" w:line="360" w:lineRule="auto"/>
              <w:jc w:val="center"/>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10 a 15</w:t>
            </w:r>
          </w:p>
        </w:tc>
        <w:tc>
          <w:tcPr>
            <w:tcW w:w="1387" w:type="dxa"/>
            <w:tcBorders>
              <w:top w:val="nil"/>
              <w:left w:val="nil"/>
              <w:right w:val="nil"/>
            </w:tcBorders>
            <w:noWrap/>
            <w:vAlign w:val="center"/>
          </w:tcPr>
          <w:p w14:paraId="42FB7F47" w14:textId="77777777" w:rsidR="0093626A" w:rsidRDefault="00000000" w:rsidP="005915A7">
            <w:pPr>
              <w:spacing w:after="0" w:line="360" w:lineRule="auto"/>
              <w:jc w:val="center"/>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3 a 4</w:t>
            </w:r>
          </w:p>
        </w:tc>
        <w:tc>
          <w:tcPr>
            <w:tcW w:w="2400" w:type="dxa"/>
            <w:tcBorders>
              <w:top w:val="nil"/>
              <w:left w:val="nil"/>
              <w:right w:val="nil"/>
            </w:tcBorders>
            <w:noWrap/>
            <w:vAlign w:val="center"/>
          </w:tcPr>
          <w:p w14:paraId="454E9AA3" w14:textId="77777777" w:rsidR="0093626A" w:rsidRDefault="00000000" w:rsidP="005915A7">
            <w:pPr>
              <w:spacing w:after="0" w:line="360" w:lineRule="auto"/>
              <w:jc w:val="center"/>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5 a 7</w:t>
            </w:r>
          </w:p>
        </w:tc>
        <w:tc>
          <w:tcPr>
            <w:tcW w:w="999" w:type="dxa"/>
            <w:tcBorders>
              <w:top w:val="nil"/>
              <w:left w:val="nil"/>
              <w:right w:val="nil"/>
            </w:tcBorders>
            <w:noWrap/>
            <w:vAlign w:val="center"/>
          </w:tcPr>
          <w:p w14:paraId="738F42DE" w14:textId="77777777" w:rsidR="0093626A" w:rsidRDefault="00000000" w:rsidP="005915A7">
            <w:pPr>
              <w:spacing w:after="0" w:line="360" w:lineRule="auto"/>
              <w:jc w:val="center"/>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12 a 18</w:t>
            </w:r>
          </w:p>
        </w:tc>
        <w:tc>
          <w:tcPr>
            <w:tcW w:w="1602" w:type="dxa"/>
            <w:tcBorders>
              <w:top w:val="nil"/>
              <w:left w:val="nil"/>
              <w:right w:val="nil"/>
            </w:tcBorders>
            <w:noWrap/>
            <w:vAlign w:val="center"/>
          </w:tcPr>
          <w:p w14:paraId="5A052ED1" w14:textId="77777777" w:rsidR="0093626A" w:rsidRDefault="00000000" w:rsidP="005915A7">
            <w:pPr>
              <w:spacing w:after="0" w:line="360" w:lineRule="auto"/>
              <w:jc w:val="center"/>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5 a 7</w:t>
            </w:r>
          </w:p>
        </w:tc>
      </w:tr>
      <w:tr w:rsidR="0093626A" w14:paraId="13D7399B" w14:textId="77777777">
        <w:trPr>
          <w:trHeight w:val="300"/>
        </w:trPr>
        <w:tc>
          <w:tcPr>
            <w:tcW w:w="1020" w:type="dxa"/>
            <w:tcBorders>
              <w:top w:val="nil"/>
              <w:left w:val="nil"/>
              <w:bottom w:val="single" w:sz="4" w:space="0" w:color="auto"/>
              <w:right w:val="single" w:sz="4" w:space="0" w:color="auto"/>
            </w:tcBorders>
            <w:noWrap/>
            <w:vAlign w:val="center"/>
          </w:tcPr>
          <w:p w14:paraId="5B26334E" w14:textId="77777777" w:rsidR="0093626A" w:rsidRDefault="00000000" w:rsidP="005915A7">
            <w:pPr>
              <w:spacing w:after="0" w:line="360" w:lineRule="auto"/>
              <w:jc w:val="center"/>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Alto</w:t>
            </w:r>
          </w:p>
        </w:tc>
        <w:tc>
          <w:tcPr>
            <w:tcW w:w="1430" w:type="dxa"/>
            <w:tcBorders>
              <w:top w:val="nil"/>
              <w:left w:val="single" w:sz="4" w:space="0" w:color="auto"/>
              <w:bottom w:val="single" w:sz="4" w:space="0" w:color="auto"/>
              <w:right w:val="nil"/>
            </w:tcBorders>
            <w:noWrap/>
            <w:vAlign w:val="center"/>
          </w:tcPr>
          <w:p w14:paraId="638B245B" w14:textId="77777777" w:rsidR="0093626A" w:rsidRDefault="00000000" w:rsidP="005915A7">
            <w:pPr>
              <w:spacing w:after="0" w:line="360" w:lineRule="auto"/>
              <w:jc w:val="center"/>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16 a 20</w:t>
            </w:r>
          </w:p>
        </w:tc>
        <w:tc>
          <w:tcPr>
            <w:tcW w:w="1387" w:type="dxa"/>
            <w:tcBorders>
              <w:top w:val="nil"/>
              <w:left w:val="nil"/>
              <w:bottom w:val="single" w:sz="4" w:space="0" w:color="auto"/>
              <w:right w:val="nil"/>
            </w:tcBorders>
            <w:noWrap/>
            <w:vAlign w:val="center"/>
          </w:tcPr>
          <w:p w14:paraId="6BFE9BE9" w14:textId="77777777" w:rsidR="0093626A" w:rsidRDefault="00000000" w:rsidP="005915A7">
            <w:pPr>
              <w:spacing w:after="0" w:line="360" w:lineRule="auto"/>
              <w:jc w:val="center"/>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5</w:t>
            </w:r>
          </w:p>
        </w:tc>
        <w:tc>
          <w:tcPr>
            <w:tcW w:w="2400" w:type="dxa"/>
            <w:tcBorders>
              <w:top w:val="nil"/>
              <w:left w:val="nil"/>
              <w:bottom w:val="single" w:sz="4" w:space="0" w:color="auto"/>
              <w:right w:val="nil"/>
            </w:tcBorders>
            <w:noWrap/>
            <w:vAlign w:val="center"/>
          </w:tcPr>
          <w:p w14:paraId="21B02638" w14:textId="77777777" w:rsidR="0093626A" w:rsidRDefault="00000000" w:rsidP="005915A7">
            <w:pPr>
              <w:spacing w:after="0" w:line="360" w:lineRule="auto"/>
              <w:jc w:val="center"/>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8 a 10</w:t>
            </w:r>
          </w:p>
        </w:tc>
        <w:tc>
          <w:tcPr>
            <w:tcW w:w="999" w:type="dxa"/>
            <w:tcBorders>
              <w:top w:val="nil"/>
              <w:left w:val="nil"/>
              <w:bottom w:val="single" w:sz="4" w:space="0" w:color="auto"/>
              <w:right w:val="nil"/>
            </w:tcBorders>
            <w:noWrap/>
            <w:vAlign w:val="center"/>
          </w:tcPr>
          <w:p w14:paraId="7DB6ED75" w14:textId="77777777" w:rsidR="0093626A" w:rsidRDefault="00000000" w:rsidP="005915A7">
            <w:pPr>
              <w:spacing w:after="0" w:line="360" w:lineRule="auto"/>
              <w:jc w:val="center"/>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19 a 25</w:t>
            </w:r>
          </w:p>
        </w:tc>
        <w:tc>
          <w:tcPr>
            <w:tcW w:w="1602" w:type="dxa"/>
            <w:tcBorders>
              <w:top w:val="nil"/>
              <w:left w:val="nil"/>
              <w:bottom w:val="single" w:sz="4" w:space="0" w:color="auto"/>
              <w:right w:val="nil"/>
            </w:tcBorders>
            <w:noWrap/>
            <w:vAlign w:val="center"/>
          </w:tcPr>
          <w:p w14:paraId="6DC0ADC4" w14:textId="77777777" w:rsidR="0093626A" w:rsidRDefault="00000000" w:rsidP="005915A7">
            <w:pPr>
              <w:spacing w:after="0" w:line="360" w:lineRule="auto"/>
              <w:jc w:val="center"/>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8 a 10</w:t>
            </w:r>
          </w:p>
        </w:tc>
      </w:tr>
    </w:tbl>
    <w:p w14:paraId="42C9BD75" w14:textId="77777777" w:rsidR="0093626A" w:rsidRPr="00634580" w:rsidRDefault="00000000" w:rsidP="005915A7">
      <w:pPr>
        <w:spacing w:after="0" w:line="360" w:lineRule="auto"/>
        <w:jc w:val="both"/>
        <w:rPr>
          <w:rFonts w:ascii="Arial" w:hAnsi="Arial" w:cs="Arial"/>
          <w:sz w:val="20"/>
          <w:szCs w:val="20"/>
        </w:rPr>
      </w:pPr>
      <w:r w:rsidRPr="00634580">
        <w:rPr>
          <w:rFonts w:ascii="Arial" w:hAnsi="Arial" w:cs="Arial"/>
          <w:sz w:val="20"/>
          <w:szCs w:val="20"/>
        </w:rPr>
        <w:t>Fuente: elaboración propia</w:t>
      </w:r>
    </w:p>
    <w:p w14:paraId="50761CA7" w14:textId="77777777" w:rsidR="0093626A" w:rsidRDefault="0093626A" w:rsidP="005915A7">
      <w:pPr>
        <w:spacing w:after="0" w:line="360" w:lineRule="auto"/>
        <w:jc w:val="both"/>
        <w:rPr>
          <w:rFonts w:ascii="Arial" w:hAnsi="Arial" w:cs="Arial"/>
          <w:b/>
          <w:bCs/>
          <w:sz w:val="24"/>
          <w:szCs w:val="24"/>
        </w:rPr>
      </w:pPr>
    </w:p>
    <w:p w14:paraId="5E3602C4" w14:textId="77777777" w:rsidR="0093626A" w:rsidRDefault="00000000" w:rsidP="005915A7">
      <w:pPr>
        <w:spacing w:after="0" w:line="360" w:lineRule="auto"/>
        <w:jc w:val="both"/>
        <w:rPr>
          <w:rFonts w:ascii="Arial" w:hAnsi="Arial" w:cs="Arial"/>
          <w:b/>
          <w:bCs/>
          <w:sz w:val="24"/>
          <w:szCs w:val="24"/>
        </w:rPr>
      </w:pPr>
      <w:r>
        <w:rPr>
          <w:rFonts w:ascii="Arial" w:hAnsi="Arial" w:cs="Arial"/>
          <w:b/>
          <w:bCs/>
          <w:sz w:val="24"/>
          <w:szCs w:val="24"/>
        </w:rPr>
        <w:t>Tabla 3</w:t>
      </w:r>
    </w:p>
    <w:p w14:paraId="5914F9B6" w14:textId="77777777" w:rsidR="0093626A" w:rsidRDefault="00000000" w:rsidP="005915A7">
      <w:pPr>
        <w:spacing w:after="0" w:line="360" w:lineRule="auto"/>
        <w:jc w:val="both"/>
        <w:rPr>
          <w:rFonts w:ascii="Arial" w:hAnsi="Arial" w:cs="Arial"/>
          <w:i/>
          <w:iCs/>
          <w:sz w:val="24"/>
          <w:szCs w:val="24"/>
        </w:rPr>
      </w:pPr>
      <w:r>
        <w:rPr>
          <w:rFonts w:ascii="Arial" w:hAnsi="Arial" w:cs="Arial"/>
          <w:i/>
          <w:iCs/>
          <w:sz w:val="24"/>
          <w:szCs w:val="24"/>
        </w:rPr>
        <w:t>Frecuencia en los niveles de baremos en cada factor de la dimensión ii de estrategias de apoyo al aprendizaje</w:t>
      </w:r>
    </w:p>
    <w:tbl>
      <w:tblPr>
        <w:tblW w:w="8890" w:type="dxa"/>
        <w:tblCellMar>
          <w:top w:w="15" w:type="dxa"/>
          <w:left w:w="70" w:type="dxa"/>
          <w:bottom w:w="15" w:type="dxa"/>
          <w:right w:w="70" w:type="dxa"/>
        </w:tblCellMar>
        <w:tblLook w:val="04A0" w:firstRow="1" w:lastRow="0" w:firstColumn="1" w:lastColumn="0" w:noHBand="0" w:noVBand="1"/>
      </w:tblPr>
      <w:tblGrid>
        <w:gridCol w:w="993"/>
        <w:gridCol w:w="1492"/>
        <w:gridCol w:w="1374"/>
        <w:gridCol w:w="2394"/>
        <w:gridCol w:w="1127"/>
        <w:gridCol w:w="1510"/>
      </w:tblGrid>
      <w:tr w:rsidR="0093626A" w14:paraId="009BA078" w14:textId="77777777">
        <w:trPr>
          <w:trHeight w:val="300"/>
        </w:trPr>
        <w:tc>
          <w:tcPr>
            <w:tcW w:w="993" w:type="dxa"/>
            <w:tcBorders>
              <w:top w:val="single" w:sz="4" w:space="0" w:color="auto"/>
              <w:left w:val="nil"/>
              <w:bottom w:val="single" w:sz="4" w:space="0" w:color="auto"/>
              <w:right w:val="single" w:sz="4" w:space="0" w:color="auto"/>
            </w:tcBorders>
            <w:shd w:val="clear" w:color="auto" w:fill="D0CECE" w:themeFill="background2" w:themeFillShade="E6"/>
            <w:noWrap/>
            <w:vAlign w:val="center"/>
          </w:tcPr>
          <w:p w14:paraId="14BC9329" w14:textId="77777777" w:rsidR="0093626A" w:rsidRDefault="00000000" w:rsidP="005915A7">
            <w:pPr>
              <w:spacing w:after="0" w:line="360" w:lineRule="auto"/>
              <w:jc w:val="center"/>
              <w:rPr>
                <w:rFonts w:ascii="Arial" w:eastAsia="Times New Roman" w:hAnsi="Arial" w:cs="Arial"/>
                <w:b/>
                <w:bCs/>
                <w:kern w:val="0"/>
                <w:sz w:val="24"/>
                <w:szCs w:val="24"/>
                <w:lang w:eastAsia="es-MX"/>
                <w14:ligatures w14:val="none"/>
              </w:rPr>
            </w:pPr>
            <w:r>
              <w:rPr>
                <w:rFonts w:ascii="Arial" w:eastAsia="Times New Roman" w:hAnsi="Arial" w:cs="Arial"/>
                <w:b/>
                <w:bCs/>
                <w:kern w:val="0"/>
                <w:sz w:val="24"/>
                <w:szCs w:val="24"/>
                <w:lang w:eastAsia="es-MX"/>
                <w14:ligatures w14:val="none"/>
              </w:rPr>
              <w:t>Nivel</w:t>
            </w:r>
          </w:p>
        </w:tc>
        <w:tc>
          <w:tcPr>
            <w:tcW w:w="1492" w:type="dxa"/>
            <w:tcBorders>
              <w:top w:val="single" w:sz="4" w:space="0" w:color="auto"/>
              <w:left w:val="single" w:sz="4" w:space="0" w:color="auto"/>
              <w:bottom w:val="single" w:sz="4" w:space="0" w:color="auto"/>
              <w:right w:val="nil"/>
            </w:tcBorders>
            <w:shd w:val="clear" w:color="auto" w:fill="D0CECE" w:themeFill="background2" w:themeFillShade="E6"/>
            <w:noWrap/>
            <w:vAlign w:val="center"/>
          </w:tcPr>
          <w:p w14:paraId="21664FC8" w14:textId="77777777" w:rsidR="0093626A" w:rsidRDefault="00000000" w:rsidP="005915A7">
            <w:pPr>
              <w:spacing w:after="0" w:line="360" w:lineRule="auto"/>
              <w:jc w:val="center"/>
              <w:rPr>
                <w:rFonts w:ascii="Arial" w:eastAsia="Times New Roman" w:hAnsi="Arial" w:cs="Arial"/>
                <w:b/>
                <w:bCs/>
                <w:color w:val="000000"/>
                <w:kern w:val="0"/>
                <w:sz w:val="24"/>
                <w:szCs w:val="24"/>
                <w:lang w:eastAsia="es-MX"/>
                <w14:ligatures w14:val="none"/>
              </w:rPr>
            </w:pPr>
            <w:r>
              <w:rPr>
                <w:rFonts w:ascii="Arial" w:eastAsia="Times New Roman" w:hAnsi="Arial" w:cs="Arial"/>
                <w:b/>
                <w:bCs/>
                <w:color w:val="000000"/>
                <w:kern w:val="0"/>
                <w:sz w:val="24"/>
                <w:szCs w:val="24"/>
                <w:lang w:eastAsia="es-MX"/>
                <w14:ligatures w14:val="none"/>
              </w:rPr>
              <w:t>Motivación</w:t>
            </w:r>
          </w:p>
        </w:tc>
        <w:tc>
          <w:tcPr>
            <w:tcW w:w="1374" w:type="dxa"/>
            <w:tcBorders>
              <w:top w:val="single" w:sz="4" w:space="0" w:color="auto"/>
              <w:left w:val="nil"/>
              <w:bottom w:val="single" w:sz="4" w:space="0" w:color="auto"/>
              <w:right w:val="nil"/>
            </w:tcBorders>
            <w:shd w:val="clear" w:color="auto" w:fill="D0CECE" w:themeFill="background2" w:themeFillShade="E6"/>
            <w:noWrap/>
            <w:vAlign w:val="center"/>
          </w:tcPr>
          <w:p w14:paraId="6D0F74DC" w14:textId="77777777" w:rsidR="0093626A" w:rsidRDefault="00000000" w:rsidP="005915A7">
            <w:pPr>
              <w:spacing w:after="0" w:line="360" w:lineRule="auto"/>
              <w:jc w:val="center"/>
              <w:rPr>
                <w:rFonts w:ascii="Arial" w:eastAsia="Times New Roman" w:hAnsi="Arial" w:cs="Arial"/>
                <w:b/>
                <w:bCs/>
                <w:color w:val="000000"/>
                <w:kern w:val="0"/>
                <w:sz w:val="24"/>
                <w:szCs w:val="24"/>
                <w:lang w:eastAsia="es-MX"/>
                <w14:ligatures w14:val="none"/>
              </w:rPr>
            </w:pPr>
            <w:r>
              <w:rPr>
                <w:rFonts w:ascii="Arial" w:eastAsia="Times New Roman" w:hAnsi="Arial" w:cs="Arial"/>
                <w:b/>
                <w:bCs/>
                <w:color w:val="000000"/>
                <w:kern w:val="0"/>
                <w:sz w:val="24"/>
                <w:szCs w:val="24"/>
                <w:lang w:eastAsia="es-MX"/>
                <w14:ligatures w14:val="none"/>
              </w:rPr>
              <w:t>Control de ansiedad</w:t>
            </w:r>
          </w:p>
        </w:tc>
        <w:tc>
          <w:tcPr>
            <w:tcW w:w="2394" w:type="dxa"/>
            <w:tcBorders>
              <w:top w:val="single" w:sz="4" w:space="0" w:color="auto"/>
              <w:left w:val="nil"/>
              <w:bottom w:val="single" w:sz="4" w:space="0" w:color="auto"/>
              <w:right w:val="nil"/>
            </w:tcBorders>
            <w:shd w:val="clear" w:color="auto" w:fill="D0CECE" w:themeFill="background2" w:themeFillShade="E6"/>
            <w:noWrap/>
            <w:vAlign w:val="center"/>
          </w:tcPr>
          <w:p w14:paraId="05030786" w14:textId="77777777" w:rsidR="0093626A" w:rsidRDefault="00000000" w:rsidP="005915A7">
            <w:pPr>
              <w:spacing w:after="0" w:line="360" w:lineRule="auto"/>
              <w:jc w:val="center"/>
              <w:rPr>
                <w:rFonts w:ascii="Arial" w:eastAsia="Times New Roman" w:hAnsi="Arial" w:cs="Arial"/>
                <w:b/>
                <w:bCs/>
                <w:color w:val="000000"/>
                <w:kern w:val="0"/>
                <w:sz w:val="24"/>
                <w:szCs w:val="24"/>
                <w:lang w:eastAsia="es-MX"/>
                <w14:ligatures w14:val="none"/>
              </w:rPr>
            </w:pPr>
            <w:r>
              <w:rPr>
                <w:rFonts w:ascii="Arial" w:eastAsia="Times New Roman" w:hAnsi="Arial" w:cs="Arial"/>
                <w:b/>
                <w:bCs/>
                <w:color w:val="000000"/>
                <w:kern w:val="0"/>
                <w:sz w:val="24"/>
                <w:szCs w:val="24"/>
                <w:lang w:eastAsia="es-MX"/>
                <w14:ligatures w14:val="none"/>
              </w:rPr>
              <w:t>Condiciones contradistractorias</w:t>
            </w:r>
          </w:p>
        </w:tc>
        <w:tc>
          <w:tcPr>
            <w:tcW w:w="1127" w:type="dxa"/>
            <w:tcBorders>
              <w:top w:val="single" w:sz="4" w:space="0" w:color="auto"/>
              <w:left w:val="nil"/>
              <w:bottom w:val="single" w:sz="4" w:space="0" w:color="auto"/>
              <w:right w:val="nil"/>
            </w:tcBorders>
            <w:shd w:val="clear" w:color="auto" w:fill="D0CECE" w:themeFill="background2" w:themeFillShade="E6"/>
            <w:noWrap/>
            <w:vAlign w:val="center"/>
          </w:tcPr>
          <w:p w14:paraId="60444CDC" w14:textId="77777777" w:rsidR="0093626A" w:rsidRDefault="00000000" w:rsidP="005915A7">
            <w:pPr>
              <w:spacing w:after="0" w:line="360" w:lineRule="auto"/>
              <w:jc w:val="center"/>
              <w:rPr>
                <w:rFonts w:ascii="Arial" w:eastAsia="Times New Roman" w:hAnsi="Arial" w:cs="Arial"/>
                <w:b/>
                <w:bCs/>
                <w:color w:val="000000"/>
                <w:kern w:val="0"/>
                <w:sz w:val="24"/>
                <w:szCs w:val="24"/>
                <w:lang w:eastAsia="es-MX"/>
                <w14:ligatures w14:val="none"/>
              </w:rPr>
            </w:pPr>
            <w:r>
              <w:rPr>
                <w:rFonts w:ascii="Arial" w:eastAsia="Times New Roman" w:hAnsi="Arial" w:cs="Arial"/>
                <w:b/>
                <w:bCs/>
                <w:color w:val="000000"/>
                <w:kern w:val="0"/>
                <w:sz w:val="24"/>
                <w:szCs w:val="24"/>
                <w:lang w:eastAsia="es-MX"/>
                <w14:ligatures w14:val="none"/>
              </w:rPr>
              <w:t>Apoyo social</w:t>
            </w:r>
          </w:p>
        </w:tc>
        <w:tc>
          <w:tcPr>
            <w:tcW w:w="1510" w:type="dxa"/>
            <w:tcBorders>
              <w:top w:val="single" w:sz="4" w:space="0" w:color="auto"/>
              <w:left w:val="nil"/>
              <w:bottom w:val="single" w:sz="4" w:space="0" w:color="auto"/>
              <w:right w:val="nil"/>
            </w:tcBorders>
            <w:shd w:val="clear" w:color="auto" w:fill="D0CECE" w:themeFill="background2" w:themeFillShade="E6"/>
            <w:noWrap/>
            <w:vAlign w:val="center"/>
          </w:tcPr>
          <w:p w14:paraId="37458211" w14:textId="77777777" w:rsidR="0093626A" w:rsidRDefault="00000000" w:rsidP="005915A7">
            <w:pPr>
              <w:spacing w:after="0" w:line="360" w:lineRule="auto"/>
              <w:jc w:val="center"/>
              <w:rPr>
                <w:rFonts w:ascii="Arial" w:eastAsia="Times New Roman" w:hAnsi="Arial" w:cs="Arial"/>
                <w:b/>
                <w:bCs/>
                <w:color w:val="000000"/>
                <w:kern w:val="0"/>
                <w:sz w:val="24"/>
                <w:szCs w:val="24"/>
                <w:lang w:eastAsia="es-MX"/>
                <w14:ligatures w14:val="none"/>
              </w:rPr>
            </w:pPr>
            <w:r>
              <w:rPr>
                <w:rFonts w:ascii="Arial" w:eastAsia="Times New Roman" w:hAnsi="Arial" w:cs="Arial"/>
                <w:b/>
                <w:bCs/>
                <w:color w:val="000000"/>
                <w:kern w:val="0"/>
                <w:sz w:val="24"/>
                <w:szCs w:val="24"/>
                <w:lang w:eastAsia="es-MX"/>
                <w14:ligatures w14:val="none"/>
              </w:rPr>
              <w:t>Horario y plan de trabajo</w:t>
            </w:r>
          </w:p>
        </w:tc>
      </w:tr>
      <w:tr w:rsidR="0093626A" w14:paraId="58D5FD9E" w14:textId="77777777">
        <w:trPr>
          <w:trHeight w:val="300"/>
        </w:trPr>
        <w:tc>
          <w:tcPr>
            <w:tcW w:w="993" w:type="dxa"/>
            <w:tcBorders>
              <w:top w:val="single" w:sz="4" w:space="0" w:color="auto"/>
              <w:left w:val="nil"/>
              <w:bottom w:val="nil"/>
              <w:right w:val="nil"/>
            </w:tcBorders>
            <w:noWrap/>
            <w:vAlign w:val="center"/>
          </w:tcPr>
          <w:p w14:paraId="6D67CA59" w14:textId="77777777" w:rsidR="0093626A" w:rsidRDefault="00000000" w:rsidP="005915A7">
            <w:pPr>
              <w:spacing w:after="0" w:line="360" w:lineRule="auto"/>
              <w:jc w:val="center"/>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Bajo</w:t>
            </w:r>
          </w:p>
        </w:tc>
        <w:tc>
          <w:tcPr>
            <w:tcW w:w="1492" w:type="dxa"/>
            <w:tcBorders>
              <w:top w:val="single" w:sz="4" w:space="0" w:color="auto"/>
              <w:left w:val="single" w:sz="4" w:space="0" w:color="auto"/>
            </w:tcBorders>
            <w:noWrap/>
            <w:vAlign w:val="center"/>
          </w:tcPr>
          <w:p w14:paraId="41CA9F5C" w14:textId="77777777" w:rsidR="0093626A" w:rsidRDefault="00000000" w:rsidP="005915A7">
            <w:pPr>
              <w:spacing w:after="0" w:line="360" w:lineRule="auto"/>
              <w:jc w:val="center"/>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72</w:t>
            </w:r>
          </w:p>
        </w:tc>
        <w:tc>
          <w:tcPr>
            <w:tcW w:w="1374" w:type="dxa"/>
            <w:tcBorders>
              <w:top w:val="single" w:sz="4" w:space="0" w:color="auto"/>
              <w:left w:val="nil"/>
            </w:tcBorders>
            <w:noWrap/>
            <w:vAlign w:val="center"/>
          </w:tcPr>
          <w:p w14:paraId="15506883" w14:textId="77777777" w:rsidR="0093626A" w:rsidRDefault="00000000" w:rsidP="005915A7">
            <w:pPr>
              <w:spacing w:after="0" w:line="360" w:lineRule="auto"/>
              <w:jc w:val="center"/>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173</w:t>
            </w:r>
          </w:p>
        </w:tc>
        <w:tc>
          <w:tcPr>
            <w:tcW w:w="2394" w:type="dxa"/>
            <w:tcBorders>
              <w:top w:val="single" w:sz="4" w:space="0" w:color="auto"/>
              <w:left w:val="nil"/>
            </w:tcBorders>
            <w:noWrap/>
            <w:vAlign w:val="center"/>
          </w:tcPr>
          <w:p w14:paraId="48C62622" w14:textId="77777777" w:rsidR="0093626A" w:rsidRDefault="00000000" w:rsidP="005915A7">
            <w:pPr>
              <w:spacing w:after="0" w:line="360" w:lineRule="auto"/>
              <w:jc w:val="center"/>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114</w:t>
            </w:r>
          </w:p>
        </w:tc>
        <w:tc>
          <w:tcPr>
            <w:tcW w:w="1127" w:type="dxa"/>
            <w:tcBorders>
              <w:top w:val="single" w:sz="4" w:space="0" w:color="auto"/>
              <w:left w:val="nil"/>
            </w:tcBorders>
            <w:noWrap/>
            <w:vAlign w:val="center"/>
          </w:tcPr>
          <w:p w14:paraId="74B1B732" w14:textId="77777777" w:rsidR="0093626A" w:rsidRDefault="00000000" w:rsidP="005915A7">
            <w:pPr>
              <w:spacing w:after="0" w:line="360" w:lineRule="auto"/>
              <w:jc w:val="center"/>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39</w:t>
            </w:r>
          </w:p>
        </w:tc>
        <w:tc>
          <w:tcPr>
            <w:tcW w:w="1510" w:type="dxa"/>
            <w:tcBorders>
              <w:top w:val="single" w:sz="4" w:space="0" w:color="auto"/>
              <w:left w:val="nil"/>
            </w:tcBorders>
            <w:noWrap/>
            <w:vAlign w:val="center"/>
          </w:tcPr>
          <w:p w14:paraId="60CDF8FD" w14:textId="77777777" w:rsidR="0093626A" w:rsidRDefault="00000000" w:rsidP="005915A7">
            <w:pPr>
              <w:spacing w:after="0" w:line="360" w:lineRule="auto"/>
              <w:jc w:val="center"/>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142</w:t>
            </w:r>
          </w:p>
        </w:tc>
      </w:tr>
      <w:tr w:rsidR="0093626A" w14:paraId="49F8C566" w14:textId="77777777">
        <w:trPr>
          <w:trHeight w:val="300"/>
        </w:trPr>
        <w:tc>
          <w:tcPr>
            <w:tcW w:w="993" w:type="dxa"/>
            <w:tcBorders>
              <w:top w:val="nil"/>
              <w:left w:val="nil"/>
              <w:right w:val="nil"/>
            </w:tcBorders>
            <w:noWrap/>
            <w:vAlign w:val="center"/>
          </w:tcPr>
          <w:p w14:paraId="246F6BF8" w14:textId="77777777" w:rsidR="0093626A" w:rsidRDefault="00000000" w:rsidP="005915A7">
            <w:pPr>
              <w:spacing w:after="0" w:line="360" w:lineRule="auto"/>
              <w:jc w:val="center"/>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Medio</w:t>
            </w:r>
          </w:p>
        </w:tc>
        <w:tc>
          <w:tcPr>
            <w:tcW w:w="1492" w:type="dxa"/>
            <w:tcBorders>
              <w:left w:val="single" w:sz="4" w:space="0" w:color="auto"/>
            </w:tcBorders>
            <w:noWrap/>
            <w:vAlign w:val="center"/>
          </w:tcPr>
          <w:p w14:paraId="618DCD34" w14:textId="77777777" w:rsidR="0093626A" w:rsidRDefault="00000000" w:rsidP="005915A7">
            <w:pPr>
              <w:spacing w:after="0" w:line="360" w:lineRule="auto"/>
              <w:jc w:val="center"/>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204</w:t>
            </w:r>
          </w:p>
        </w:tc>
        <w:tc>
          <w:tcPr>
            <w:tcW w:w="1374" w:type="dxa"/>
            <w:tcBorders>
              <w:left w:val="nil"/>
            </w:tcBorders>
            <w:noWrap/>
            <w:vAlign w:val="center"/>
          </w:tcPr>
          <w:p w14:paraId="18062201" w14:textId="77777777" w:rsidR="0093626A" w:rsidRDefault="00000000" w:rsidP="005915A7">
            <w:pPr>
              <w:spacing w:after="0" w:line="360" w:lineRule="auto"/>
              <w:jc w:val="center"/>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198</w:t>
            </w:r>
          </w:p>
        </w:tc>
        <w:tc>
          <w:tcPr>
            <w:tcW w:w="2394" w:type="dxa"/>
            <w:tcBorders>
              <w:left w:val="nil"/>
            </w:tcBorders>
            <w:noWrap/>
            <w:vAlign w:val="center"/>
          </w:tcPr>
          <w:p w14:paraId="3E53393C" w14:textId="77777777" w:rsidR="0093626A" w:rsidRDefault="00000000" w:rsidP="005915A7">
            <w:pPr>
              <w:spacing w:after="0" w:line="360" w:lineRule="auto"/>
              <w:jc w:val="center"/>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208</w:t>
            </w:r>
          </w:p>
        </w:tc>
        <w:tc>
          <w:tcPr>
            <w:tcW w:w="1127" w:type="dxa"/>
            <w:tcBorders>
              <w:left w:val="nil"/>
            </w:tcBorders>
            <w:noWrap/>
            <w:vAlign w:val="center"/>
          </w:tcPr>
          <w:p w14:paraId="19C78778" w14:textId="77777777" w:rsidR="0093626A" w:rsidRDefault="00000000" w:rsidP="005915A7">
            <w:pPr>
              <w:spacing w:after="0" w:line="360" w:lineRule="auto"/>
              <w:jc w:val="center"/>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190</w:t>
            </w:r>
          </w:p>
        </w:tc>
        <w:tc>
          <w:tcPr>
            <w:tcW w:w="1510" w:type="dxa"/>
            <w:tcBorders>
              <w:left w:val="nil"/>
            </w:tcBorders>
            <w:noWrap/>
            <w:vAlign w:val="center"/>
          </w:tcPr>
          <w:p w14:paraId="16A4C3D0" w14:textId="77777777" w:rsidR="0093626A" w:rsidRDefault="00000000" w:rsidP="005915A7">
            <w:pPr>
              <w:spacing w:after="0" w:line="360" w:lineRule="auto"/>
              <w:jc w:val="center"/>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168</w:t>
            </w:r>
          </w:p>
        </w:tc>
      </w:tr>
      <w:tr w:rsidR="0093626A" w14:paraId="6611AB76" w14:textId="77777777">
        <w:trPr>
          <w:trHeight w:val="300"/>
        </w:trPr>
        <w:tc>
          <w:tcPr>
            <w:tcW w:w="993" w:type="dxa"/>
            <w:tcBorders>
              <w:top w:val="nil"/>
              <w:left w:val="nil"/>
              <w:bottom w:val="single" w:sz="4" w:space="0" w:color="auto"/>
              <w:right w:val="nil"/>
            </w:tcBorders>
            <w:noWrap/>
            <w:vAlign w:val="center"/>
          </w:tcPr>
          <w:p w14:paraId="67B9B4CA" w14:textId="77777777" w:rsidR="0093626A" w:rsidRDefault="00000000" w:rsidP="005915A7">
            <w:pPr>
              <w:spacing w:after="0" w:line="360" w:lineRule="auto"/>
              <w:jc w:val="center"/>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Alto</w:t>
            </w:r>
          </w:p>
        </w:tc>
        <w:tc>
          <w:tcPr>
            <w:tcW w:w="1492" w:type="dxa"/>
            <w:tcBorders>
              <w:left w:val="single" w:sz="4" w:space="0" w:color="auto"/>
              <w:bottom w:val="single" w:sz="4" w:space="0" w:color="auto"/>
            </w:tcBorders>
            <w:noWrap/>
            <w:vAlign w:val="center"/>
          </w:tcPr>
          <w:p w14:paraId="5A59A84F" w14:textId="77777777" w:rsidR="0093626A" w:rsidRDefault="00000000" w:rsidP="005915A7">
            <w:pPr>
              <w:spacing w:after="0" w:line="360" w:lineRule="auto"/>
              <w:jc w:val="center"/>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196</w:t>
            </w:r>
          </w:p>
        </w:tc>
        <w:tc>
          <w:tcPr>
            <w:tcW w:w="1374" w:type="dxa"/>
            <w:tcBorders>
              <w:left w:val="nil"/>
              <w:bottom w:val="single" w:sz="4" w:space="0" w:color="auto"/>
            </w:tcBorders>
            <w:noWrap/>
            <w:vAlign w:val="center"/>
          </w:tcPr>
          <w:p w14:paraId="3C9AD35D" w14:textId="77777777" w:rsidR="0093626A" w:rsidRDefault="00000000" w:rsidP="005915A7">
            <w:pPr>
              <w:spacing w:after="0" w:line="360" w:lineRule="auto"/>
              <w:jc w:val="center"/>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101</w:t>
            </w:r>
          </w:p>
        </w:tc>
        <w:tc>
          <w:tcPr>
            <w:tcW w:w="2394" w:type="dxa"/>
            <w:tcBorders>
              <w:left w:val="nil"/>
              <w:bottom w:val="single" w:sz="4" w:space="0" w:color="auto"/>
            </w:tcBorders>
            <w:noWrap/>
            <w:vAlign w:val="center"/>
          </w:tcPr>
          <w:p w14:paraId="1AAB6982" w14:textId="77777777" w:rsidR="0093626A" w:rsidRDefault="00000000" w:rsidP="005915A7">
            <w:pPr>
              <w:spacing w:after="0" w:line="360" w:lineRule="auto"/>
              <w:jc w:val="center"/>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150</w:t>
            </w:r>
          </w:p>
        </w:tc>
        <w:tc>
          <w:tcPr>
            <w:tcW w:w="1127" w:type="dxa"/>
            <w:tcBorders>
              <w:left w:val="nil"/>
              <w:bottom w:val="single" w:sz="4" w:space="0" w:color="auto"/>
            </w:tcBorders>
            <w:noWrap/>
            <w:vAlign w:val="center"/>
          </w:tcPr>
          <w:p w14:paraId="3CFB6815" w14:textId="77777777" w:rsidR="0093626A" w:rsidRDefault="00000000" w:rsidP="005915A7">
            <w:pPr>
              <w:spacing w:after="0" w:line="360" w:lineRule="auto"/>
              <w:jc w:val="center"/>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243</w:t>
            </w:r>
          </w:p>
        </w:tc>
        <w:tc>
          <w:tcPr>
            <w:tcW w:w="1510" w:type="dxa"/>
            <w:tcBorders>
              <w:left w:val="nil"/>
              <w:bottom w:val="single" w:sz="4" w:space="0" w:color="auto"/>
            </w:tcBorders>
            <w:noWrap/>
            <w:vAlign w:val="center"/>
          </w:tcPr>
          <w:p w14:paraId="13D4CEE4" w14:textId="77777777" w:rsidR="0093626A" w:rsidRDefault="00000000" w:rsidP="005915A7">
            <w:pPr>
              <w:spacing w:after="0" w:line="360" w:lineRule="auto"/>
              <w:jc w:val="center"/>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162</w:t>
            </w:r>
          </w:p>
        </w:tc>
      </w:tr>
    </w:tbl>
    <w:p w14:paraId="4EEBB545" w14:textId="77777777" w:rsidR="0093626A" w:rsidRDefault="00000000" w:rsidP="005915A7">
      <w:pPr>
        <w:spacing w:after="0" w:line="360" w:lineRule="auto"/>
        <w:jc w:val="both"/>
        <w:rPr>
          <w:rFonts w:ascii="Arial" w:hAnsi="Arial" w:cs="Arial"/>
          <w:sz w:val="20"/>
          <w:szCs w:val="20"/>
        </w:rPr>
      </w:pPr>
      <w:bookmarkStart w:id="5" w:name="_Hlk215826417"/>
      <w:r w:rsidRPr="00634580">
        <w:rPr>
          <w:rFonts w:ascii="Arial" w:hAnsi="Arial" w:cs="Arial"/>
          <w:sz w:val="20"/>
          <w:szCs w:val="20"/>
        </w:rPr>
        <w:t>Fuente</w:t>
      </w:r>
      <w:r>
        <w:rPr>
          <w:rFonts w:ascii="Arial" w:hAnsi="Arial" w:cs="Arial"/>
          <w:sz w:val="20"/>
          <w:szCs w:val="20"/>
        </w:rPr>
        <w:t>: elaboración propia</w:t>
      </w:r>
    </w:p>
    <w:bookmarkEnd w:id="5"/>
    <w:p w14:paraId="4395E505" w14:textId="77777777" w:rsidR="0093626A" w:rsidRPr="00634580" w:rsidRDefault="00000000" w:rsidP="005915A7">
      <w:pPr>
        <w:spacing w:after="0" w:line="360" w:lineRule="auto"/>
        <w:jc w:val="both"/>
        <w:rPr>
          <w:rFonts w:ascii="Arial" w:hAnsi="Arial" w:cs="Arial"/>
          <w:b/>
          <w:bCs/>
          <w:sz w:val="24"/>
          <w:szCs w:val="24"/>
        </w:rPr>
      </w:pPr>
      <w:r w:rsidRPr="00634580">
        <w:rPr>
          <w:rFonts w:ascii="Arial" w:hAnsi="Arial" w:cs="Arial"/>
          <w:b/>
          <w:bCs/>
          <w:sz w:val="24"/>
          <w:szCs w:val="24"/>
        </w:rPr>
        <w:tab/>
      </w:r>
    </w:p>
    <w:p w14:paraId="687FB932" w14:textId="77777777" w:rsidR="0093626A" w:rsidRDefault="00000000" w:rsidP="005915A7">
      <w:pPr>
        <w:spacing w:after="0" w:line="360" w:lineRule="auto"/>
        <w:ind w:firstLine="708"/>
        <w:jc w:val="both"/>
        <w:rPr>
          <w:rFonts w:ascii="Arial" w:hAnsi="Arial" w:cs="Arial"/>
          <w:sz w:val="24"/>
          <w:szCs w:val="24"/>
        </w:rPr>
      </w:pPr>
      <w:r>
        <w:rPr>
          <w:rFonts w:ascii="Arial" w:hAnsi="Arial" w:cs="Arial"/>
          <w:sz w:val="24"/>
          <w:szCs w:val="24"/>
        </w:rPr>
        <w:t xml:space="preserve">Se realizó un primer análisis mediante el programa Statgraphics Centurion para determinar la relación entre las variables independientes con las dependientes, y se observó que el valor-P fue mayor que 0.05, sin indicación de una autocorrelación serial en los residuos, con un nivel de confianza del 95.0%. Como se muestra en la tabla 4, las variables control de la ansiedad, condiciones contradistractorias, apoyo social y plan de trabajo fueron significativas en el modelo estadístico, pero se eliminó la de motivación por su valor-P de 0.8863 pues no fue estadísticamente significativa con un nivel de confianza del 95%.  </w:t>
      </w:r>
    </w:p>
    <w:p w14:paraId="35FEEED4" w14:textId="77777777" w:rsidR="006E7A7E" w:rsidRDefault="006E7A7E" w:rsidP="006E7A7E">
      <w:pPr>
        <w:spacing w:after="0" w:line="360" w:lineRule="auto"/>
        <w:jc w:val="both"/>
        <w:rPr>
          <w:rFonts w:ascii="Arial" w:hAnsi="Arial" w:cs="Arial"/>
          <w:sz w:val="24"/>
          <w:szCs w:val="24"/>
        </w:rPr>
      </w:pPr>
    </w:p>
    <w:p w14:paraId="1817A99A" w14:textId="77777777" w:rsidR="006E7A7E" w:rsidRDefault="006E7A7E" w:rsidP="006E7A7E">
      <w:pPr>
        <w:spacing w:after="0" w:line="360" w:lineRule="auto"/>
        <w:jc w:val="both"/>
        <w:rPr>
          <w:rFonts w:ascii="Arial" w:hAnsi="Arial" w:cs="Arial"/>
          <w:sz w:val="24"/>
          <w:szCs w:val="24"/>
        </w:rPr>
      </w:pPr>
    </w:p>
    <w:p w14:paraId="5D187BB2" w14:textId="77777777" w:rsidR="006E7A7E" w:rsidRDefault="006E7A7E" w:rsidP="006E7A7E">
      <w:pPr>
        <w:spacing w:after="0" w:line="360" w:lineRule="auto"/>
        <w:jc w:val="both"/>
        <w:rPr>
          <w:rFonts w:ascii="Arial" w:hAnsi="Arial" w:cs="Arial"/>
          <w:sz w:val="24"/>
          <w:szCs w:val="24"/>
        </w:rPr>
      </w:pPr>
    </w:p>
    <w:p w14:paraId="580A5241" w14:textId="77777777" w:rsidR="0093626A" w:rsidRDefault="0093626A" w:rsidP="005915A7">
      <w:pPr>
        <w:spacing w:after="0" w:line="360" w:lineRule="auto"/>
        <w:jc w:val="both"/>
        <w:rPr>
          <w:rFonts w:ascii="Arial" w:hAnsi="Arial" w:cs="Arial"/>
          <w:b/>
          <w:bCs/>
          <w:sz w:val="24"/>
          <w:szCs w:val="24"/>
        </w:rPr>
      </w:pPr>
    </w:p>
    <w:p w14:paraId="1F0271A4" w14:textId="77777777" w:rsidR="0093626A" w:rsidRDefault="00000000" w:rsidP="005915A7">
      <w:pPr>
        <w:spacing w:after="0" w:line="360" w:lineRule="auto"/>
        <w:jc w:val="both"/>
        <w:rPr>
          <w:rFonts w:ascii="Arial" w:hAnsi="Arial" w:cs="Arial"/>
          <w:b/>
          <w:bCs/>
          <w:sz w:val="24"/>
          <w:szCs w:val="24"/>
        </w:rPr>
      </w:pPr>
      <w:r>
        <w:rPr>
          <w:rFonts w:ascii="Arial" w:hAnsi="Arial" w:cs="Arial"/>
          <w:b/>
          <w:bCs/>
          <w:sz w:val="24"/>
          <w:szCs w:val="24"/>
        </w:rPr>
        <w:lastRenderedPageBreak/>
        <w:t>Tabla 4</w:t>
      </w:r>
    </w:p>
    <w:p w14:paraId="3BCE54E1" w14:textId="77777777" w:rsidR="0093626A" w:rsidRDefault="00000000" w:rsidP="005915A7">
      <w:pPr>
        <w:spacing w:after="0" w:line="360" w:lineRule="auto"/>
        <w:jc w:val="both"/>
        <w:rPr>
          <w:rFonts w:ascii="Arial" w:hAnsi="Arial" w:cs="Arial"/>
          <w:i/>
          <w:iCs/>
          <w:sz w:val="24"/>
          <w:szCs w:val="24"/>
        </w:rPr>
      </w:pPr>
      <w:r>
        <w:rPr>
          <w:rFonts w:ascii="Arial" w:hAnsi="Arial" w:cs="Arial"/>
          <w:i/>
          <w:iCs/>
          <w:sz w:val="24"/>
          <w:szCs w:val="24"/>
        </w:rPr>
        <w:t>Modelo de regresión múltiple para analizar las variables nivel de calificaciones, motivación, control de ansiedad, condiciones contradistractorias, apoyo social, y, horario plan de trabajo</w:t>
      </w:r>
    </w:p>
    <w:tbl>
      <w:tblPr>
        <w:tblW w:w="8931" w:type="dxa"/>
        <w:tblInd w:w="-8" w:type="dxa"/>
        <w:tblLayout w:type="fixed"/>
        <w:tblCellMar>
          <w:left w:w="40" w:type="dxa"/>
          <w:right w:w="40" w:type="dxa"/>
        </w:tblCellMar>
        <w:tblLook w:val="04A0" w:firstRow="1" w:lastRow="0" w:firstColumn="1" w:lastColumn="0" w:noHBand="0" w:noVBand="1"/>
      </w:tblPr>
      <w:tblGrid>
        <w:gridCol w:w="2120"/>
        <w:gridCol w:w="1566"/>
        <w:gridCol w:w="1843"/>
        <w:gridCol w:w="1842"/>
        <w:gridCol w:w="1560"/>
      </w:tblGrid>
      <w:tr w:rsidR="0093626A" w14:paraId="446EDF50" w14:textId="77777777">
        <w:tc>
          <w:tcPr>
            <w:tcW w:w="2120" w:type="dxa"/>
            <w:tcBorders>
              <w:top w:val="single" w:sz="6" w:space="0" w:color="auto"/>
              <w:bottom w:val="single" w:sz="6" w:space="0" w:color="auto"/>
            </w:tcBorders>
            <w:shd w:val="clear" w:color="auto" w:fill="D0CECE" w:themeFill="background2" w:themeFillShade="E6"/>
            <w:vAlign w:val="center"/>
          </w:tcPr>
          <w:p w14:paraId="759B0D55" w14:textId="77777777" w:rsidR="0093626A" w:rsidRDefault="00000000" w:rsidP="005915A7">
            <w:pPr>
              <w:autoSpaceDE w:val="0"/>
              <w:autoSpaceDN w:val="0"/>
              <w:adjustRightInd w:val="0"/>
              <w:spacing w:after="0" w:line="360" w:lineRule="auto"/>
              <w:jc w:val="center"/>
              <w:rPr>
                <w:rFonts w:ascii="Arial" w:hAnsi="Arial" w:cs="Arial"/>
                <w:b/>
                <w:bCs/>
                <w:color w:val="000000" w:themeColor="text1"/>
                <w:sz w:val="24"/>
                <w:szCs w:val="24"/>
              </w:rPr>
            </w:pPr>
            <w:r>
              <w:rPr>
                <w:rFonts w:ascii="Arial" w:hAnsi="Arial" w:cs="Arial"/>
                <w:b/>
                <w:bCs/>
                <w:color w:val="000000" w:themeColor="text1"/>
                <w:sz w:val="24"/>
                <w:szCs w:val="24"/>
              </w:rPr>
              <w:t>Parámetro</w:t>
            </w:r>
          </w:p>
        </w:tc>
        <w:tc>
          <w:tcPr>
            <w:tcW w:w="1566" w:type="dxa"/>
            <w:tcBorders>
              <w:top w:val="single" w:sz="6" w:space="0" w:color="auto"/>
              <w:left w:val="nil"/>
              <w:bottom w:val="single" w:sz="6" w:space="0" w:color="auto"/>
            </w:tcBorders>
            <w:shd w:val="clear" w:color="auto" w:fill="D0CECE" w:themeFill="background2" w:themeFillShade="E6"/>
            <w:vAlign w:val="center"/>
          </w:tcPr>
          <w:p w14:paraId="585B6EAA" w14:textId="77777777" w:rsidR="0093626A" w:rsidRDefault="00000000" w:rsidP="005915A7">
            <w:pPr>
              <w:autoSpaceDE w:val="0"/>
              <w:autoSpaceDN w:val="0"/>
              <w:adjustRightInd w:val="0"/>
              <w:spacing w:after="0" w:line="360" w:lineRule="auto"/>
              <w:jc w:val="center"/>
              <w:rPr>
                <w:rFonts w:ascii="Arial" w:hAnsi="Arial" w:cs="Arial"/>
                <w:b/>
                <w:bCs/>
                <w:color w:val="000000" w:themeColor="text1"/>
                <w:sz w:val="24"/>
                <w:szCs w:val="24"/>
              </w:rPr>
            </w:pPr>
            <w:r>
              <w:rPr>
                <w:rFonts w:ascii="Arial" w:hAnsi="Arial" w:cs="Arial"/>
                <w:b/>
                <w:bCs/>
                <w:color w:val="000000" w:themeColor="text1"/>
                <w:sz w:val="24"/>
                <w:szCs w:val="24"/>
              </w:rPr>
              <w:t>Estimación</w:t>
            </w:r>
          </w:p>
        </w:tc>
        <w:tc>
          <w:tcPr>
            <w:tcW w:w="1843" w:type="dxa"/>
            <w:tcBorders>
              <w:top w:val="single" w:sz="6" w:space="0" w:color="auto"/>
              <w:left w:val="nil"/>
              <w:bottom w:val="single" w:sz="6" w:space="0" w:color="auto"/>
            </w:tcBorders>
            <w:shd w:val="clear" w:color="auto" w:fill="D0CECE" w:themeFill="background2" w:themeFillShade="E6"/>
            <w:vAlign w:val="center"/>
          </w:tcPr>
          <w:p w14:paraId="46B1421B" w14:textId="77777777" w:rsidR="0093626A" w:rsidRDefault="00000000" w:rsidP="005915A7">
            <w:pPr>
              <w:autoSpaceDE w:val="0"/>
              <w:autoSpaceDN w:val="0"/>
              <w:adjustRightInd w:val="0"/>
              <w:spacing w:after="0" w:line="360" w:lineRule="auto"/>
              <w:jc w:val="center"/>
              <w:rPr>
                <w:rFonts w:ascii="Arial" w:hAnsi="Arial" w:cs="Arial"/>
                <w:b/>
                <w:bCs/>
                <w:color w:val="000000" w:themeColor="text1"/>
                <w:sz w:val="24"/>
                <w:szCs w:val="24"/>
              </w:rPr>
            </w:pPr>
            <w:r>
              <w:rPr>
                <w:rFonts w:ascii="Arial" w:hAnsi="Arial" w:cs="Arial"/>
                <w:b/>
                <w:bCs/>
                <w:color w:val="000000" w:themeColor="text1"/>
                <w:sz w:val="24"/>
                <w:szCs w:val="24"/>
              </w:rPr>
              <w:t>Error Estándar</w:t>
            </w:r>
          </w:p>
        </w:tc>
        <w:tc>
          <w:tcPr>
            <w:tcW w:w="1842" w:type="dxa"/>
            <w:tcBorders>
              <w:top w:val="single" w:sz="6" w:space="0" w:color="auto"/>
              <w:left w:val="nil"/>
              <w:bottom w:val="single" w:sz="6" w:space="0" w:color="auto"/>
            </w:tcBorders>
            <w:shd w:val="clear" w:color="auto" w:fill="D0CECE" w:themeFill="background2" w:themeFillShade="E6"/>
            <w:vAlign w:val="center"/>
          </w:tcPr>
          <w:p w14:paraId="1941D130" w14:textId="77777777" w:rsidR="0093626A" w:rsidRDefault="00000000" w:rsidP="005915A7">
            <w:pPr>
              <w:autoSpaceDE w:val="0"/>
              <w:autoSpaceDN w:val="0"/>
              <w:adjustRightInd w:val="0"/>
              <w:spacing w:after="0" w:line="360" w:lineRule="auto"/>
              <w:jc w:val="center"/>
              <w:rPr>
                <w:rFonts w:ascii="Arial" w:hAnsi="Arial" w:cs="Arial"/>
                <w:b/>
                <w:bCs/>
                <w:color w:val="000000" w:themeColor="text1"/>
                <w:sz w:val="24"/>
                <w:szCs w:val="24"/>
              </w:rPr>
            </w:pPr>
            <w:r>
              <w:rPr>
                <w:rFonts w:ascii="Arial" w:hAnsi="Arial" w:cs="Arial"/>
                <w:b/>
                <w:bCs/>
                <w:color w:val="000000" w:themeColor="text1"/>
                <w:sz w:val="24"/>
                <w:szCs w:val="24"/>
              </w:rPr>
              <w:t>Estadístico T</w:t>
            </w:r>
          </w:p>
        </w:tc>
        <w:tc>
          <w:tcPr>
            <w:tcW w:w="1560" w:type="dxa"/>
            <w:tcBorders>
              <w:top w:val="single" w:sz="6" w:space="0" w:color="auto"/>
              <w:left w:val="nil"/>
              <w:bottom w:val="single" w:sz="6" w:space="0" w:color="auto"/>
            </w:tcBorders>
            <w:shd w:val="clear" w:color="auto" w:fill="D0CECE" w:themeFill="background2" w:themeFillShade="E6"/>
            <w:vAlign w:val="center"/>
          </w:tcPr>
          <w:p w14:paraId="0D02EDF1" w14:textId="77777777" w:rsidR="0093626A" w:rsidRDefault="00000000" w:rsidP="005915A7">
            <w:pPr>
              <w:autoSpaceDE w:val="0"/>
              <w:autoSpaceDN w:val="0"/>
              <w:adjustRightInd w:val="0"/>
              <w:spacing w:after="0" w:line="360" w:lineRule="auto"/>
              <w:jc w:val="center"/>
              <w:rPr>
                <w:rFonts w:ascii="Arial" w:hAnsi="Arial" w:cs="Arial"/>
                <w:b/>
                <w:bCs/>
                <w:color w:val="000000" w:themeColor="text1"/>
                <w:sz w:val="24"/>
                <w:szCs w:val="24"/>
              </w:rPr>
            </w:pPr>
            <w:r>
              <w:rPr>
                <w:rFonts w:ascii="Arial" w:hAnsi="Arial" w:cs="Arial"/>
                <w:b/>
                <w:bCs/>
                <w:color w:val="000000" w:themeColor="text1"/>
                <w:sz w:val="24"/>
                <w:szCs w:val="24"/>
              </w:rPr>
              <w:t>Valor-P</w:t>
            </w:r>
          </w:p>
        </w:tc>
      </w:tr>
      <w:tr w:rsidR="0093626A" w14:paraId="6871DD3F" w14:textId="77777777">
        <w:tc>
          <w:tcPr>
            <w:tcW w:w="2120" w:type="dxa"/>
            <w:tcBorders>
              <w:top w:val="single" w:sz="6" w:space="0" w:color="auto"/>
              <w:bottom w:val="single" w:sz="4" w:space="0" w:color="auto"/>
            </w:tcBorders>
            <w:vAlign w:val="center"/>
          </w:tcPr>
          <w:p w14:paraId="6C79D2B5" w14:textId="77777777" w:rsidR="0093626A" w:rsidRDefault="00000000" w:rsidP="005915A7">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color w:val="000000" w:themeColor="text1"/>
                <w:sz w:val="24"/>
                <w:szCs w:val="24"/>
              </w:rPr>
              <w:t>CONSTANTE</w:t>
            </w:r>
          </w:p>
        </w:tc>
        <w:tc>
          <w:tcPr>
            <w:tcW w:w="1566" w:type="dxa"/>
            <w:tcBorders>
              <w:top w:val="single" w:sz="6" w:space="0" w:color="auto"/>
              <w:left w:val="nil"/>
              <w:bottom w:val="single" w:sz="4" w:space="0" w:color="auto"/>
            </w:tcBorders>
            <w:vAlign w:val="center"/>
          </w:tcPr>
          <w:p w14:paraId="18955102" w14:textId="77777777" w:rsidR="0093626A" w:rsidRDefault="00000000" w:rsidP="005915A7">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color w:val="000000" w:themeColor="text1"/>
                <w:sz w:val="24"/>
                <w:szCs w:val="24"/>
              </w:rPr>
              <w:t>0.973429</w:t>
            </w:r>
          </w:p>
        </w:tc>
        <w:tc>
          <w:tcPr>
            <w:tcW w:w="1843" w:type="dxa"/>
            <w:tcBorders>
              <w:top w:val="single" w:sz="6" w:space="0" w:color="auto"/>
              <w:left w:val="nil"/>
              <w:bottom w:val="single" w:sz="4" w:space="0" w:color="auto"/>
            </w:tcBorders>
            <w:vAlign w:val="center"/>
          </w:tcPr>
          <w:p w14:paraId="335178E4" w14:textId="77777777" w:rsidR="0093626A" w:rsidRDefault="00000000" w:rsidP="005915A7">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color w:val="000000" w:themeColor="text1"/>
                <w:sz w:val="24"/>
                <w:szCs w:val="24"/>
              </w:rPr>
              <w:t>0.161075</w:t>
            </w:r>
          </w:p>
        </w:tc>
        <w:tc>
          <w:tcPr>
            <w:tcW w:w="1842" w:type="dxa"/>
            <w:tcBorders>
              <w:top w:val="single" w:sz="6" w:space="0" w:color="auto"/>
              <w:left w:val="nil"/>
              <w:bottom w:val="single" w:sz="4" w:space="0" w:color="auto"/>
            </w:tcBorders>
            <w:vAlign w:val="center"/>
          </w:tcPr>
          <w:p w14:paraId="5797A163" w14:textId="77777777" w:rsidR="0093626A" w:rsidRDefault="00000000" w:rsidP="005915A7">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color w:val="000000" w:themeColor="text1"/>
                <w:sz w:val="24"/>
                <w:szCs w:val="24"/>
              </w:rPr>
              <w:t>6.04331</w:t>
            </w:r>
          </w:p>
        </w:tc>
        <w:tc>
          <w:tcPr>
            <w:tcW w:w="1560" w:type="dxa"/>
            <w:tcBorders>
              <w:top w:val="single" w:sz="6" w:space="0" w:color="auto"/>
              <w:left w:val="nil"/>
              <w:bottom w:val="single" w:sz="4" w:space="0" w:color="auto"/>
            </w:tcBorders>
            <w:vAlign w:val="center"/>
          </w:tcPr>
          <w:p w14:paraId="6F1735A5" w14:textId="77777777" w:rsidR="0093626A" w:rsidRDefault="00000000" w:rsidP="005915A7">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color w:val="000000" w:themeColor="text1"/>
                <w:sz w:val="24"/>
                <w:szCs w:val="24"/>
              </w:rPr>
              <w:t>0.0000</w:t>
            </w:r>
          </w:p>
        </w:tc>
      </w:tr>
      <w:tr w:rsidR="0093626A" w14:paraId="227CC1A3" w14:textId="77777777">
        <w:tc>
          <w:tcPr>
            <w:tcW w:w="2120" w:type="dxa"/>
            <w:tcBorders>
              <w:top w:val="single" w:sz="4" w:space="0" w:color="auto"/>
              <w:bottom w:val="single" w:sz="4" w:space="0" w:color="auto"/>
            </w:tcBorders>
            <w:vAlign w:val="center"/>
          </w:tcPr>
          <w:p w14:paraId="73419FB6" w14:textId="77777777" w:rsidR="0093626A" w:rsidRDefault="00000000" w:rsidP="005915A7">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color w:val="000000" w:themeColor="text1"/>
                <w:sz w:val="24"/>
                <w:szCs w:val="24"/>
              </w:rPr>
              <w:t>Motivación</w:t>
            </w:r>
          </w:p>
        </w:tc>
        <w:tc>
          <w:tcPr>
            <w:tcW w:w="1566" w:type="dxa"/>
            <w:tcBorders>
              <w:top w:val="single" w:sz="4" w:space="0" w:color="auto"/>
              <w:left w:val="nil"/>
              <w:bottom w:val="single" w:sz="4" w:space="0" w:color="auto"/>
            </w:tcBorders>
            <w:vAlign w:val="center"/>
          </w:tcPr>
          <w:p w14:paraId="3799038D" w14:textId="77777777" w:rsidR="0093626A" w:rsidRDefault="00000000" w:rsidP="005915A7">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color w:val="000000" w:themeColor="text1"/>
                <w:sz w:val="24"/>
                <w:szCs w:val="24"/>
              </w:rPr>
              <w:t>0.00769309</w:t>
            </w:r>
          </w:p>
        </w:tc>
        <w:tc>
          <w:tcPr>
            <w:tcW w:w="1843" w:type="dxa"/>
            <w:tcBorders>
              <w:top w:val="single" w:sz="4" w:space="0" w:color="auto"/>
              <w:left w:val="nil"/>
              <w:bottom w:val="single" w:sz="4" w:space="0" w:color="auto"/>
            </w:tcBorders>
            <w:vAlign w:val="center"/>
          </w:tcPr>
          <w:p w14:paraId="042A0A93" w14:textId="77777777" w:rsidR="0093626A" w:rsidRDefault="00000000" w:rsidP="005915A7">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color w:val="000000" w:themeColor="text1"/>
                <w:sz w:val="24"/>
                <w:szCs w:val="24"/>
              </w:rPr>
              <w:t>0.0537719</w:t>
            </w:r>
          </w:p>
        </w:tc>
        <w:tc>
          <w:tcPr>
            <w:tcW w:w="1842" w:type="dxa"/>
            <w:tcBorders>
              <w:top w:val="single" w:sz="4" w:space="0" w:color="auto"/>
              <w:left w:val="nil"/>
              <w:bottom w:val="single" w:sz="4" w:space="0" w:color="auto"/>
            </w:tcBorders>
            <w:vAlign w:val="center"/>
          </w:tcPr>
          <w:p w14:paraId="5BE44E6A" w14:textId="77777777" w:rsidR="0093626A" w:rsidRDefault="00000000" w:rsidP="005915A7">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color w:val="000000" w:themeColor="text1"/>
                <w:sz w:val="24"/>
                <w:szCs w:val="24"/>
              </w:rPr>
              <w:t>0.143069</w:t>
            </w:r>
          </w:p>
        </w:tc>
        <w:tc>
          <w:tcPr>
            <w:tcW w:w="1560" w:type="dxa"/>
            <w:tcBorders>
              <w:top w:val="single" w:sz="4" w:space="0" w:color="auto"/>
              <w:left w:val="nil"/>
              <w:bottom w:val="single" w:sz="4" w:space="0" w:color="auto"/>
            </w:tcBorders>
            <w:vAlign w:val="center"/>
          </w:tcPr>
          <w:p w14:paraId="60A12E5E" w14:textId="77777777" w:rsidR="0093626A" w:rsidRDefault="00000000" w:rsidP="005915A7">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color w:val="000000" w:themeColor="text1"/>
                <w:sz w:val="24"/>
                <w:szCs w:val="24"/>
              </w:rPr>
              <w:t>0.8863</w:t>
            </w:r>
          </w:p>
        </w:tc>
      </w:tr>
      <w:tr w:rsidR="0093626A" w14:paraId="1236C706" w14:textId="77777777">
        <w:tc>
          <w:tcPr>
            <w:tcW w:w="2120" w:type="dxa"/>
            <w:tcBorders>
              <w:top w:val="single" w:sz="4" w:space="0" w:color="auto"/>
              <w:bottom w:val="single" w:sz="4" w:space="0" w:color="auto"/>
            </w:tcBorders>
            <w:vAlign w:val="center"/>
          </w:tcPr>
          <w:p w14:paraId="271D5CDD" w14:textId="77777777" w:rsidR="0093626A" w:rsidRDefault="00000000" w:rsidP="005915A7">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color w:val="000000" w:themeColor="text1"/>
                <w:sz w:val="24"/>
                <w:szCs w:val="24"/>
              </w:rPr>
              <w:t>Control de ansiedad</w:t>
            </w:r>
          </w:p>
        </w:tc>
        <w:tc>
          <w:tcPr>
            <w:tcW w:w="1566" w:type="dxa"/>
            <w:tcBorders>
              <w:top w:val="single" w:sz="4" w:space="0" w:color="auto"/>
              <w:left w:val="nil"/>
              <w:bottom w:val="single" w:sz="4" w:space="0" w:color="auto"/>
            </w:tcBorders>
            <w:vAlign w:val="center"/>
          </w:tcPr>
          <w:p w14:paraId="2C804B2D" w14:textId="77777777" w:rsidR="0093626A" w:rsidRDefault="00000000" w:rsidP="005915A7">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color w:val="000000" w:themeColor="text1"/>
                <w:sz w:val="24"/>
                <w:szCs w:val="24"/>
              </w:rPr>
              <w:t>0.0251088</w:t>
            </w:r>
          </w:p>
        </w:tc>
        <w:tc>
          <w:tcPr>
            <w:tcW w:w="1843" w:type="dxa"/>
            <w:tcBorders>
              <w:top w:val="single" w:sz="4" w:space="0" w:color="auto"/>
              <w:left w:val="nil"/>
              <w:bottom w:val="single" w:sz="4" w:space="0" w:color="auto"/>
            </w:tcBorders>
            <w:vAlign w:val="center"/>
          </w:tcPr>
          <w:p w14:paraId="50D0BC5D" w14:textId="77777777" w:rsidR="0093626A" w:rsidRDefault="00000000" w:rsidP="005915A7">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color w:val="000000" w:themeColor="text1"/>
                <w:sz w:val="24"/>
                <w:szCs w:val="24"/>
              </w:rPr>
              <w:t>0.0475849</w:t>
            </w:r>
          </w:p>
        </w:tc>
        <w:tc>
          <w:tcPr>
            <w:tcW w:w="1842" w:type="dxa"/>
            <w:tcBorders>
              <w:top w:val="single" w:sz="4" w:space="0" w:color="auto"/>
              <w:left w:val="nil"/>
              <w:bottom w:val="single" w:sz="4" w:space="0" w:color="auto"/>
            </w:tcBorders>
            <w:vAlign w:val="center"/>
          </w:tcPr>
          <w:p w14:paraId="72D70C68" w14:textId="77777777" w:rsidR="0093626A" w:rsidRDefault="00000000" w:rsidP="005915A7">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color w:val="000000" w:themeColor="text1"/>
                <w:sz w:val="24"/>
                <w:szCs w:val="24"/>
              </w:rPr>
              <w:t>0.527663</w:t>
            </w:r>
          </w:p>
        </w:tc>
        <w:tc>
          <w:tcPr>
            <w:tcW w:w="1560" w:type="dxa"/>
            <w:tcBorders>
              <w:top w:val="single" w:sz="4" w:space="0" w:color="auto"/>
              <w:left w:val="nil"/>
              <w:bottom w:val="single" w:sz="4" w:space="0" w:color="auto"/>
            </w:tcBorders>
            <w:vAlign w:val="center"/>
          </w:tcPr>
          <w:p w14:paraId="3F03DCB4" w14:textId="77777777" w:rsidR="0093626A" w:rsidRDefault="00000000" w:rsidP="005915A7">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color w:val="000000" w:themeColor="text1"/>
                <w:sz w:val="24"/>
                <w:szCs w:val="24"/>
              </w:rPr>
              <w:t>0.5980</w:t>
            </w:r>
          </w:p>
        </w:tc>
      </w:tr>
      <w:tr w:rsidR="0093626A" w14:paraId="4CA0B512" w14:textId="77777777">
        <w:tc>
          <w:tcPr>
            <w:tcW w:w="2120" w:type="dxa"/>
            <w:tcBorders>
              <w:top w:val="single" w:sz="4" w:space="0" w:color="auto"/>
              <w:bottom w:val="single" w:sz="4" w:space="0" w:color="auto"/>
            </w:tcBorders>
            <w:vAlign w:val="center"/>
          </w:tcPr>
          <w:p w14:paraId="5A7DFEA7" w14:textId="77777777" w:rsidR="0093626A" w:rsidRDefault="00000000" w:rsidP="005915A7">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color w:val="000000" w:themeColor="text1"/>
                <w:sz w:val="24"/>
                <w:szCs w:val="24"/>
              </w:rPr>
              <w:t>Condiciones contradistractorias</w:t>
            </w:r>
          </w:p>
        </w:tc>
        <w:tc>
          <w:tcPr>
            <w:tcW w:w="1566" w:type="dxa"/>
            <w:tcBorders>
              <w:top w:val="single" w:sz="4" w:space="0" w:color="auto"/>
              <w:left w:val="nil"/>
              <w:bottom w:val="single" w:sz="4" w:space="0" w:color="auto"/>
            </w:tcBorders>
            <w:vAlign w:val="center"/>
          </w:tcPr>
          <w:p w14:paraId="2E9F45D4" w14:textId="77777777" w:rsidR="0093626A" w:rsidRDefault="00000000" w:rsidP="005915A7">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color w:val="000000" w:themeColor="text1"/>
                <w:sz w:val="24"/>
                <w:szCs w:val="24"/>
              </w:rPr>
              <w:t>-0.0458187</w:t>
            </w:r>
          </w:p>
        </w:tc>
        <w:tc>
          <w:tcPr>
            <w:tcW w:w="1843" w:type="dxa"/>
            <w:tcBorders>
              <w:top w:val="single" w:sz="4" w:space="0" w:color="auto"/>
              <w:left w:val="nil"/>
              <w:bottom w:val="single" w:sz="4" w:space="0" w:color="auto"/>
            </w:tcBorders>
            <w:vAlign w:val="center"/>
          </w:tcPr>
          <w:p w14:paraId="2F46A4D7" w14:textId="77777777" w:rsidR="0093626A" w:rsidRDefault="00000000" w:rsidP="005915A7">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color w:val="000000" w:themeColor="text1"/>
                <w:sz w:val="24"/>
                <w:szCs w:val="24"/>
              </w:rPr>
              <w:t>0.0497964</w:t>
            </w:r>
          </w:p>
        </w:tc>
        <w:tc>
          <w:tcPr>
            <w:tcW w:w="1842" w:type="dxa"/>
            <w:tcBorders>
              <w:top w:val="single" w:sz="4" w:space="0" w:color="auto"/>
              <w:left w:val="nil"/>
              <w:bottom w:val="single" w:sz="4" w:space="0" w:color="auto"/>
            </w:tcBorders>
            <w:vAlign w:val="center"/>
          </w:tcPr>
          <w:p w14:paraId="442EA93E" w14:textId="77777777" w:rsidR="0093626A" w:rsidRDefault="00000000" w:rsidP="005915A7">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color w:val="000000" w:themeColor="text1"/>
                <w:sz w:val="24"/>
                <w:szCs w:val="24"/>
              </w:rPr>
              <w:t>-0.920121</w:t>
            </w:r>
          </w:p>
        </w:tc>
        <w:tc>
          <w:tcPr>
            <w:tcW w:w="1560" w:type="dxa"/>
            <w:tcBorders>
              <w:top w:val="single" w:sz="4" w:space="0" w:color="auto"/>
              <w:left w:val="nil"/>
              <w:bottom w:val="single" w:sz="4" w:space="0" w:color="auto"/>
            </w:tcBorders>
            <w:vAlign w:val="center"/>
          </w:tcPr>
          <w:p w14:paraId="4D1F80E5" w14:textId="77777777" w:rsidR="0093626A" w:rsidRDefault="00000000" w:rsidP="005915A7">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color w:val="000000" w:themeColor="text1"/>
                <w:sz w:val="24"/>
                <w:szCs w:val="24"/>
              </w:rPr>
              <w:t>0.3580</w:t>
            </w:r>
          </w:p>
        </w:tc>
      </w:tr>
      <w:tr w:rsidR="0093626A" w14:paraId="5A81B0AB" w14:textId="77777777">
        <w:tc>
          <w:tcPr>
            <w:tcW w:w="2120" w:type="dxa"/>
            <w:tcBorders>
              <w:top w:val="single" w:sz="4" w:space="0" w:color="auto"/>
              <w:bottom w:val="single" w:sz="4" w:space="0" w:color="auto"/>
            </w:tcBorders>
            <w:vAlign w:val="center"/>
          </w:tcPr>
          <w:p w14:paraId="4C4F523F" w14:textId="77777777" w:rsidR="0093626A" w:rsidRDefault="00000000" w:rsidP="005915A7">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color w:val="000000" w:themeColor="text1"/>
                <w:sz w:val="24"/>
                <w:szCs w:val="24"/>
              </w:rPr>
              <w:t>Apoyo social</w:t>
            </w:r>
          </w:p>
        </w:tc>
        <w:tc>
          <w:tcPr>
            <w:tcW w:w="1566" w:type="dxa"/>
            <w:tcBorders>
              <w:top w:val="single" w:sz="4" w:space="0" w:color="auto"/>
              <w:left w:val="nil"/>
              <w:bottom w:val="single" w:sz="4" w:space="0" w:color="auto"/>
            </w:tcBorders>
            <w:vAlign w:val="center"/>
          </w:tcPr>
          <w:p w14:paraId="1A132B82" w14:textId="77777777" w:rsidR="0093626A" w:rsidRDefault="00000000" w:rsidP="005915A7">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color w:val="000000" w:themeColor="text1"/>
                <w:sz w:val="24"/>
                <w:szCs w:val="24"/>
              </w:rPr>
              <w:t>0.125633</w:t>
            </w:r>
          </w:p>
        </w:tc>
        <w:tc>
          <w:tcPr>
            <w:tcW w:w="1843" w:type="dxa"/>
            <w:tcBorders>
              <w:top w:val="single" w:sz="4" w:space="0" w:color="auto"/>
              <w:left w:val="nil"/>
              <w:bottom w:val="single" w:sz="4" w:space="0" w:color="auto"/>
            </w:tcBorders>
            <w:vAlign w:val="center"/>
          </w:tcPr>
          <w:p w14:paraId="6C78CDED" w14:textId="77777777" w:rsidR="0093626A" w:rsidRDefault="00000000" w:rsidP="005915A7">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color w:val="000000" w:themeColor="text1"/>
                <w:sz w:val="24"/>
                <w:szCs w:val="24"/>
              </w:rPr>
              <w:t>0.0481345</w:t>
            </w:r>
          </w:p>
        </w:tc>
        <w:tc>
          <w:tcPr>
            <w:tcW w:w="1842" w:type="dxa"/>
            <w:tcBorders>
              <w:top w:val="single" w:sz="4" w:space="0" w:color="auto"/>
              <w:left w:val="nil"/>
              <w:bottom w:val="single" w:sz="4" w:space="0" w:color="auto"/>
            </w:tcBorders>
            <w:vAlign w:val="center"/>
          </w:tcPr>
          <w:p w14:paraId="7180E3AC" w14:textId="77777777" w:rsidR="0093626A" w:rsidRDefault="00000000" w:rsidP="005915A7">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color w:val="000000" w:themeColor="text1"/>
                <w:sz w:val="24"/>
                <w:szCs w:val="24"/>
              </w:rPr>
              <w:t>2.61005</w:t>
            </w:r>
          </w:p>
        </w:tc>
        <w:tc>
          <w:tcPr>
            <w:tcW w:w="1560" w:type="dxa"/>
            <w:tcBorders>
              <w:top w:val="single" w:sz="4" w:space="0" w:color="auto"/>
              <w:left w:val="nil"/>
              <w:bottom w:val="single" w:sz="4" w:space="0" w:color="auto"/>
            </w:tcBorders>
            <w:vAlign w:val="center"/>
          </w:tcPr>
          <w:p w14:paraId="78AB30F2" w14:textId="77777777" w:rsidR="0093626A" w:rsidRDefault="00000000" w:rsidP="005915A7">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color w:val="000000" w:themeColor="text1"/>
                <w:sz w:val="24"/>
                <w:szCs w:val="24"/>
              </w:rPr>
              <w:t>0.0093</w:t>
            </w:r>
          </w:p>
        </w:tc>
      </w:tr>
      <w:tr w:rsidR="0093626A" w14:paraId="0B17BAFB" w14:textId="77777777">
        <w:tc>
          <w:tcPr>
            <w:tcW w:w="2120" w:type="dxa"/>
            <w:tcBorders>
              <w:top w:val="single" w:sz="4" w:space="0" w:color="auto"/>
              <w:bottom w:val="single" w:sz="4" w:space="0" w:color="auto"/>
            </w:tcBorders>
            <w:vAlign w:val="center"/>
          </w:tcPr>
          <w:p w14:paraId="3C637A98" w14:textId="77777777" w:rsidR="0093626A" w:rsidRDefault="00000000" w:rsidP="005915A7">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color w:val="000000" w:themeColor="text1"/>
                <w:sz w:val="24"/>
                <w:szCs w:val="24"/>
              </w:rPr>
              <w:t>Plan de trabajo</w:t>
            </w:r>
          </w:p>
        </w:tc>
        <w:tc>
          <w:tcPr>
            <w:tcW w:w="1566" w:type="dxa"/>
            <w:tcBorders>
              <w:top w:val="single" w:sz="4" w:space="0" w:color="auto"/>
              <w:left w:val="nil"/>
              <w:bottom w:val="single" w:sz="4" w:space="0" w:color="auto"/>
            </w:tcBorders>
            <w:vAlign w:val="center"/>
          </w:tcPr>
          <w:p w14:paraId="4F62F754" w14:textId="77777777" w:rsidR="0093626A" w:rsidRDefault="00000000" w:rsidP="005915A7">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color w:val="000000" w:themeColor="text1"/>
                <w:sz w:val="24"/>
                <w:szCs w:val="24"/>
              </w:rPr>
              <w:t>0.0623504</w:t>
            </w:r>
          </w:p>
        </w:tc>
        <w:tc>
          <w:tcPr>
            <w:tcW w:w="1843" w:type="dxa"/>
            <w:tcBorders>
              <w:top w:val="single" w:sz="4" w:space="0" w:color="auto"/>
              <w:left w:val="nil"/>
              <w:bottom w:val="single" w:sz="4" w:space="0" w:color="auto"/>
            </w:tcBorders>
            <w:vAlign w:val="center"/>
          </w:tcPr>
          <w:p w14:paraId="22B730C0" w14:textId="77777777" w:rsidR="0093626A" w:rsidRDefault="00000000" w:rsidP="005915A7">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color w:val="000000" w:themeColor="text1"/>
                <w:sz w:val="24"/>
                <w:szCs w:val="24"/>
              </w:rPr>
              <w:t>0.0479221</w:t>
            </w:r>
          </w:p>
        </w:tc>
        <w:tc>
          <w:tcPr>
            <w:tcW w:w="1842" w:type="dxa"/>
            <w:tcBorders>
              <w:top w:val="single" w:sz="4" w:space="0" w:color="auto"/>
              <w:left w:val="nil"/>
              <w:bottom w:val="single" w:sz="4" w:space="0" w:color="auto"/>
            </w:tcBorders>
            <w:vAlign w:val="center"/>
          </w:tcPr>
          <w:p w14:paraId="68D60A6B" w14:textId="77777777" w:rsidR="0093626A" w:rsidRDefault="00000000" w:rsidP="005915A7">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color w:val="000000" w:themeColor="text1"/>
                <w:sz w:val="24"/>
                <w:szCs w:val="24"/>
              </w:rPr>
              <w:t>1.30108</w:t>
            </w:r>
          </w:p>
        </w:tc>
        <w:tc>
          <w:tcPr>
            <w:tcW w:w="1560" w:type="dxa"/>
            <w:tcBorders>
              <w:top w:val="single" w:sz="4" w:space="0" w:color="auto"/>
              <w:left w:val="nil"/>
              <w:bottom w:val="single" w:sz="4" w:space="0" w:color="auto"/>
            </w:tcBorders>
            <w:vAlign w:val="center"/>
          </w:tcPr>
          <w:p w14:paraId="765A8E73" w14:textId="77777777" w:rsidR="0093626A" w:rsidRDefault="00000000" w:rsidP="005915A7">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color w:val="000000" w:themeColor="text1"/>
                <w:sz w:val="24"/>
                <w:szCs w:val="24"/>
              </w:rPr>
              <w:t>0.1939</w:t>
            </w:r>
          </w:p>
        </w:tc>
      </w:tr>
    </w:tbl>
    <w:p w14:paraId="286CE38F" w14:textId="77777777" w:rsidR="0093626A" w:rsidRDefault="00000000" w:rsidP="005915A7">
      <w:pPr>
        <w:spacing w:after="0" w:line="360" w:lineRule="auto"/>
        <w:jc w:val="both"/>
        <w:rPr>
          <w:rFonts w:ascii="Arial" w:hAnsi="Arial" w:cs="Arial"/>
          <w:sz w:val="20"/>
          <w:szCs w:val="20"/>
        </w:rPr>
      </w:pPr>
      <w:r w:rsidRPr="00634580">
        <w:rPr>
          <w:rFonts w:ascii="Arial" w:hAnsi="Arial" w:cs="Arial"/>
          <w:sz w:val="20"/>
          <w:szCs w:val="20"/>
        </w:rPr>
        <w:t>Fuente</w:t>
      </w:r>
      <w:r>
        <w:rPr>
          <w:rFonts w:ascii="Arial" w:hAnsi="Arial" w:cs="Arial"/>
          <w:sz w:val="20"/>
          <w:szCs w:val="20"/>
        </w:rPr>
        <w:t>: elaboración propia</w:t>
      </w:r>
    </w:p>
    <w:p w14:paraId="7462BD83" w14:textId="77777777" w:rsidR="0093626A" w:rsidRDefault="0093626A" w:rsidP="005915A7">
      <w:pPr>
        <w:spacing w:after="0" w:line="360" w:lineRule="auto"/>
        <w:jc w:val="both"/>
        <w:rPr>
          <w:rFonts w:ascii="Arial" w:hAnsi="Arial" w:cs="Arial"/>
          <w:sz w:val="24"/>
          <w:szCs w:val="24"/>
        </w:rPr>
      </w:pPr>
    </w:p>
    <w:p w14:paraId="0B0D3F42" w14:textId="77777777" w:rsidR="0093626A" w:rsidRDefault="00000000" w:rsidP="005915A7">
      <w:pPr>
        <w:spacing w:after="0" w:line="360" w:lineRule="auto"/>
        <w:jc w:val="both"/>
        <w:rPr>
          <w:rFonts w:ascii="Arial" w:hAnsi="Arial" w:cs="Arial"/>
          <w:sz w:val="24"/>
          <w:szCs w:val="24"/>
        </w:rPr>
      </w:pPr>
      <w:r>
        <w:rPr>
          <w:rFonts w:ascii="Arial" w:hAnsi="Arial" w:cs="Arial"/>
          <w:sz w:val="24"/>
          <w:szCs w:val="24"/>
        </w:rPr>
        <w:tab/>
        <w:t xml:space="preserve">Debido a que la variable independiente motivación no fue significativa en el modelo estadístico, fue eliminada, y se realizó un nuevo modelo de regresión por pasos hacia atrás. El estadístico R-Cuadrada indicó que el modelo así ajustado explicó 1.57777 % de la variabilidad en nivel de calificación.  El estadístico R-Cuadrada ajustada, que es más apropiado para comparar modelos con diferente número de variables independientes, fue de 1.36836%.  El error estándar del estimado mostró que la desviación estándar de los residuos fue 0.667275. El error absoluto medio (MAE) es de 0.537779 como valor promedio de los residuos. El valor-P más alto de las variables independientes fue 0.0063, que correspondía a Apoyo social, puesto que fue menor que 0.05, estadísticamente significativo con un nivel de confianza del 95.0%. Las variables independientes control de la ansiedad, condiciones contradistractorias, apoyo social y plan de trabajo tienen un valor-P significativo por arriba de 0.05, donde se mostró que la variable de apoyo social es la que presenta mayor relación con la calificación del alumno, con un valor-P de 0.0063 con un nivel de confianza del 95.0%.  En la gráfica 2 se puede vislumbrar la distribución de la frecuencia en el nivel de implementación de la variable “apoyo </w:t>
      </w:r>
      <w:r>
        <w:rPr>
          <w:rFonts w:ascii="Arial" w:hAnsi="Arial" w:cs="Arial"/>
          <w:sz w:val="24"/>
          <w:szCs w:val="24"/>
        </w:rPr>
        <w:lastRenderedPageBreak/>
        <w:t>social” en la muestra analizada, en el que se muestra un nivel alto de su aplicación en aquellos alumnos que poseen un nivel alto de calificación en la materia.</w:t>
      </w:r>
    </w:p>
    <w:p w14:paraId="16407369" w14:textId="77777777" w:rsidR="0093626A" w:rsidRDefault="0093626A" w:rsidP="005915A7">
      <w:pPr>
        <w:spacing w:after="0" w:line="360" w:lineRule="auto"/>
        <w:jc w:val="both"/>
        <w:rPr>
          <w:rFonts w:ascii="Arial" w:hAnsi="Arial" w:cs="Arial"/>
          <w:b/>
          <w:bCs/>
          <w:sz w:val="24"/>
          <w:szCs w:val="24"/>
        </w:rPr>
      </w:pPr>
    </w:p>
    <w:p w14:paraId="0B8D743C" w14:textId="77777777" w:rsidR="0093626A" w:rsidRDefault="00000000" w:rsidP="005915A7">
      <w:pPr>
        <w:spacing w:after="0" w:line="360" w:lineRule="auto"/>
        <w:jc w:val="both"/>
        <w:rPr>
          <w:rFonts w:ascii="Arial" w:hAnsi="Arial" w:cs="Arial"/>
          <w:b/>
          <w:bCs/>
          <w:sz w:val="24"/>
          <w:szCs w:val="24"/>
        </w:rPr>
      </w:pPr>
      <w:r>
        <w:rPr>
          <w:rFonts w:ascii="Arial" w:hAnsi="Arial" w:cs="Arial"/>
          <w:b/>
          <w:bCs/>
          <w:sz w:val="24"/>
          <w:szCs w:val="24"/>
        </w:rPr>
        <w:t>Gráfica 2</w:t>
      </w:r>
    </w:p>
    <w:p w14:paraId="4CB0CCCE" w14:textId="77777777" w:rsidR="0093626A" w:rsidRDefault="00000000" w:rsidP="005915A7">
      <w:pPr>
        <w:spacing w:after="0" w:line="360" w:lineRule="auto"/>
        <w:jc w:val="both"/>
        <w:rPr>
          <w:rFonts w:ascii="Arial" w:hAnsi="Arial" w:cs="Arial"/>
          <w:i/>
          <w:iCs/>
          <w:sz w:val="24"/>
          <w:szCs w:val="24"/>
        </w:rPr>
      </w:pPr>
      <w:r>
        <w:rPr>
          <w:rFonts w:ascii="Arial" w:hAnsi="Arial" w:cs="Arial"/>
          <w:i/>
          <w:iCs/>
          <w:sz w:val="24"/>
          <w:szCs w:val="24"/>
        </w:rPr>
        <w:t>Histograma de la variable apoyo social</w:t>
      </w:r>
    </w:p>
    <w:p w14:paraId="35ADDEB7" w14:textId="77777777" w:rsidR="0093626A" w:rsidRDefault="00000000" w:rsidP="005915A7">
      <w:pPr>
        <w:spacing w:after="0" w:line="360" w:lineRule="auto"/>
        <w:jc w:val="both"/>
        <w:rPr>
          <w:rFonts w:ascii="Arial" w:hAnsi="Arial" w:cs="Arial"/>
          <w:sz w:val="24"/>
          <w:szCs w:val="24"/>
        </w:rPr>
      </w:pPr>
      <w:r w:rsidRPr="00634580">
        <w:rPr>
          <w:rFonts w:ascii="Arial" w:hAnsi="Arial" w:cs="Arial"/>
          <w:noProof/>
          <w:sz w:val="24"/>
          <w:szCs w:val="24"/>
        </w:rPr>
        <w:drawing>
          <wp:inline distT="0" distB="0" distL="0" distR="0" wp14:anchorId="520C7163" wp14:editId="4266C8F1">
            <wp:extent cx="4506595" cy="1449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0">
                      <a:extLst>
                        <a:ext uri="{28A0092B-C50C-407E-A947-70E740481C1C}">
                          <a14:useLocalDpi xmlns:a14="http://schemas.microsoft.com/office/drawing/2010/main" val="0"/>
                        </a:ext>
                      </a:extLst>
                    </a:blip>
                    <a:srcRect l="12152" t="16957" r="19008" b="8824"/>
                    <a:stretch>
                      <a:fillRect/>
                    </a:stretch>
                  </pic:blipFill>
                  <pic:spPr>
                    <a:xfrm>
                      <a:off x="0" y="0"/>
                      <a:ext cx="4507229" cy="1449482"/>
                    </a:xfrm>
                    <a:prstGeom prst="rect">
                      <a:avLst/>
                    </a:prstGeom>
                    <a:noFill/>
                    <a:ln>
                      <a:noFill/>
                    </a:ln>
                  </pic:spPr>
                </pic:pic>
              </a:graphicData>
            </a:graphic>
          </wp:inline>
        </w:drawing>
      </w:r>
    </w:p>
    <w:p w14:paraId="6A45F130" w14:textId="77777777" w:rsidR="0093626A" w:rsidRPr="00634580" w:rsidRDefault="00000000" w:rsidP="005915A7">
      <w:pPr>
        <w:spacing w:after="0" w:line="360" w:lineRule="auto"/>
        <w:jc w:val="both"/>
        <w:rPr>
          <w:rFonts w:ascii="Arial" w:hAnsi="Arial" w:cs="Arial"/>
          <w:color w:val="000000" w:themeColor="text1"/>
          <w:sz w:val="20"/>
          <w:szCs w:val="20"/>
        </w:rPr>
      </w:pPr>
      <w:r w:rsidRPr="00634580">
        <w:rPr>
          <w:rFonts w:ascii="Arial" w:hAnsi="Arial" w:cs="Arial"/>
          <w:color w:val="000000" w:themeColor="text1"/>
          <w:sz w:val="20"/>
          <w:szCs w:val="20"/>
        </w:rPr>
        <w:t>Fuente: Elaboración propia</w:t>
      </w:r>
    </w:p>
    <w:p w14:paraId="1842AF0F" w14:textId="77777777" w:rsidR="0093626A" w:rsidRDefault="0093626A" w:rsidP="005915A7">
      <w:pPr>
        <w:spacing w:after="0" w:line="360" w:lineRule="auto"/>
        <w:ind w:firstLine="708"/>
        <w:jc w:val="both"/>
        <w:rPr>
          <w:rFonts w:ascii="Arial" w:hAnsi="Arial" w:cs="Arial"/>
          <w:sz w:val="24"/>
          <w:szCs w:val="24"/>
        </w:rPr>
      </w:pPr>
    </w:p>
    <w:p w14:paraId="51428626" w14:textId="77777777" w:rsidR="0093626A" w:rsidRDefault="00000000" w:rsidP="005915A7">
      <w:pPr>
        <w:spacing w:after="0" w:line="360" w:lineRule="auto"/>
        <w:ind w:firstLine="708"/>
        <w:jc w:val="both"/>
        <w:rPr>
          <w:rFonts w:ascii="Arial" w:hAnsi="Arial" w:cs="Arial"/>
          <w:sz w:val="24"/>
          <w:szCs w:val="24"/>
        </w:rPr>
      </w:pPr>
      <w:r>
        <w:rPr>
          <w:rFonts w:ascii="Arial" w:hAnsi="Arial" w:cs="Arial"/>
          <w:sz w:val="24"/>
          <w:szCs w:val="24"/>
        </w:rPr>
        <w:t xml:space="preserve">En la gráfica 3, puede observarse la relación del nivel de rendimiento académico con el nivel de apoyo al aprendizaje, y se muestra la distribución del nivel de calificaciones de acuerdo con el nivel de estrategias de apoyo al aprendizaje alusivas a la dimensión II de la escala ACRA abreviada. Paradójicamente, aquellos alumnos con calificaciones bajas son los que en su mayoría afirman implementar la estrategia de apoyo al aprendizaje. </w:t>
      </w:r>
    </w:p>
    <w:p w14:paraId="1795EAA1" w14:textId="77777777" w:rsidR="0093626A" w:rsidRDefault="0093626A" w:rsidP="005915A7">
      <w:pPr>
        <w:spacing w:after="0" w:line="360" w:lineRule="auto"/>
        <w:jc w:val="both"/>
        <w:rPr>
          <w:rFonts w:ascii="Arial" w:hAnsi="Arial" w:cs="Arial"/>
          <w:b/>
          <w:bCs/>
          <w:sz w:val="24"/>
          <w:szCs w:val="24"/>
        </w:rPr>
      </w:pPr>
    </w:p>
    <w:p w14:paraId="6D56F1D6" w14:textId="77777777" w:rsidR="0093626A" w:rsidRDefault="00000000" w:rsidP="005915A7">
      <w:pPr>
        <w:spacing w:after="0" w:line="360" w:lineRule="auto"/>
        <w:jc w:val="both"/>
        <w:rPr>
          <w:rFonts w:ascii="Arial" w:hAnsi="Arial" w:cs="Arial"/>
          <w:b/>
          <w:bCs/>
          <w:sz w:val="24"/>
          <w:szCs w:val="24"/>
        </w:rPr>
      </w:pPr>
      <w:r>
        <w:rPr>
          <w:rFonts w:ascii="Arial" w:hAnsi="Arial" w:cs="Arial"/>
          <w:b/>
          <w:bCs/>
          <w:sz w:val="24"/>
          <w:szCs w:val="24"/>
        </w:rPr>
        <w:t>Gráfica 3</w:t>
      </w:r>
    </w:p>
    <w:p w14:paraId="3B8894A9" w14:textId="77777777" w:rsidR="0093626A" w:rsidRDefault="00000000" w:rsidP="005915A7">
      <w:pPr>
        <w:spacing w:after="0" w:line="360" w:lineRule="auto"/>
        <w:jc w:val="both"/>
        <w:rPr>
          <w:rFonts w:ascii="Arial" w:hAnsi="Arial" w:cs="Arial"/>
          <w:sz w:val="24"/>
          <w:szCs w:val="24"/>
        </w:rPr>
      </w:pPr>
      <w:r>
        <w:rPr>
          <w:rFonts w:ascii="Arial" w:hAnsi="Arial" w:cs="Arial"/>
          <w:i/>
          <w:iCs/>
          <w:sz w:val="24"/>
          <w:szCs w:val="24"/>
        </w:rPr>
        <w:t>Relación del nivel de rendimiento académico con nivel de apoyo al aprendizaje</w:t>
      </w:r>
      <w:r>
        <w:rPr>
          <w:rFonts w:ascii="Arial" w:hAnsi="Arial" w:cs="Arial"/>
          <w:sz w:val="24"/>
          <w:szCs w:val="24"/>
        </w:rPr>
        <w:t xml:space="preserve"> </w:t>
      </w:r>
    </w:p>
    <w:p w14:paraId="01BBF56F" w14:textId="77777777" w:rsidR="0093626A" w:rsidRDefault="00000000" w:rsidP="005915A7">
      <w:pPr>
        <w:spacing w:after="0" w:line="360" w:lineRule="auto"/>
        <w:jc w:val="both"/>
        <w:rPr>
          <w:rFonts w:ascii="Arial" w:hAnsi="Arial" w:cs="Arial"/>
          <w:sz w:val="24"/>
          <w:szCs w:val="24"/>
        </w:rPr>
      </w:pPr>
      <w:r w:rsidRPr="00634580">
        <w:rPr>
          <w:rFonts w:ascii="Arial" w:hAnsi="Arial" w:cs="Arial"/>
          <w:noProof/>
          <w:sz w:val="24"/>
          <w:szCs w:val="24"/>
        </w:rPr>
        <w:drawing>
          <wp:inline distT="0" distB="0" distL="0" distR="0" wp14:anchorId="7C37A78E" wp14:editId="7E23E2E6">
            <wp:extent cx="4561205" cy="2136775"/>
            <wp:effectExtent l="0" t="0" r="7620" b="0"/>
            <wp:docPr id="1078818650" name="Picture 767821652" descr="Gráfico, Gráfico en cascad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818650" name="Picture 767821652" descr="Gráfico, Gráfico en cascada&#10;&#10;Descripción generada automáticamente"/>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561550" cy="2136775"/>
                    </a:xfrm>
                    <a:prstGeom prst="rect">
                      <a:avLst/>
                    </a:prstGeom>
                  </pic:spPr>
                </pic:pic>
              </a:graphicData>
            </a:graphic>
          </wp:inline>
        </w:drawing>
      </w:r>
    </w:p>
    <w:p w14:paraId="22C3553B" w14:textId="77777777" w:rsidR="0093626A" w:rsidRDefault="00000000" w:rsidP="005915A7">
      <w:pPr>
        <w:spacing w:after="0" w:line="360" w:lineRule="auto"/>
        <w:jc w:val="both"/>
        <w:rPr>
          <w:rFonts w:ascii="Arial" w:hAnsi="Arial" w:cs="Arial"/>
          <w:color w:val="000000" w:themeColor="text1"/>
          <w:sz w:val="20"/>
          <w:szCs w:val="20"/>
        </w:rPr>
      </w:pPr>
      <w:r w:rsidRPr="00634580">
        <w:rPr>
          <w:rFonts w:ascii="Arial" w:hAnsi="Arial" w:cs="Arial"/>
          <w:color w:val="000000" w:themeColor="text1"/>
          <w:sz w:val="20"/>
          <w:szCs w:val="20"/>
        </w:rPr>
        <w:t>Fuente: Elaboración propia</w:t>
      </w:r>
    </w:p>
    <w:p w14:paraId="3AA96ADD" w14:textId="77777777" w:rsidR="0093626A" w:rsidRPr="00634580" w:rsidRDefault="0093626A" w:rsidP="005915A7">
      <w:pPr>
        <w:spacing w:after="0" w:line="360" w:lineRule="auto"/>
        <w:jc w:val="both"/>
        <w:rPr>
          <w:rFonts w:ascii="Arial" w:hAnsi="Arial" w:cs="Arial"/>
          <w:color w:val="000000" w:themeColor="text1"/>
          <w:sz w:val="20"/>
          <w:szCs w:val="20"/>
        </w:rPr>
      </w:pPr>
    </w:p>
    <w:p w14:paraId="10757422" w14:textId="77777777" w:rsidR="0093626A" w:rsidRDefault="00000000" w:rsidP="005915A7">
      <w:pPr>
        <w:spacing w:after="0" w:line="360" w:lineRule="auto"/>
        <w:jc w:val="both"/>
        <w:rPr>
          <w:rFonts w:ascii="Arial" w:hAnsi="Arial" w:cs="Arial"/>
          <w:i/>
          <w:iCs/>
          <w:sz w:val="24"/>
          <w:szCs w:val="24"/>
        </w:rPr>
      </w:pPr>
      <w:r>
        <w:rPr>
          <w:rFonts w:ascii="Arial" w:hAnsi="Arial" w:cs="Arial"/>
          <w:i/>
          <w:iCs/>
          <w:sz w:val="24"/>
          <w:szCs w:val="24"/>
        </w:rPr>
        <w:t>Ítems del factor apoyo social de la dimensión II</w:t>
      </w:r>
    </w:p>
    <w:p w14:paraId="04F4F9A6" w14:textId="77777777" w:rsidR="0093626A" w:rsidRDefault="00000000" w:rsidP="005915A7">
      <w:pPr>
        <w:spacing w:after="0" w:line="360" w:lineRule="auto"/>
        <w:jc w:val="both"/>
        <w:rPr>
          <w:rFonts w:ascii="Arial" w:hAnsi="Arial" w:cs="Arial"/>
          <w:sz w:val="24"/>
          <w:szCs w:val="24"/>
        </w:rPr>
      </w:pPr>
      <w:r>
        <w:rPr>
          <w:rFonts w:ascii="Arial" w:hAnsi="Arial" w:cs="Arial"/>
          <w:sz w:val="24"/>
          <w:szCs w:val="24"/>
        </w:rPr>
        <w:t>Para determinar cuál era el ítem que los sujetos investigados más implementaban como estrategia de apoyo al aprendizaje, en el programa Statgraphics Centurion se realizó un modelo estadístico de regresión lineal múltiple para realizar una relación de la calificación del alumnado con relación a los cinco ítems correspondientes al factor apoyo social de la dimensión II que son los siguientes:</w:t>
      </w:r>
    </w:p>
    <w:p w14:paraId="4519F8BF" w14:textId="77777777" w:rsidR="0093626A" w:rsidRDefault="00000000" w:rsidP="005915A7">
      <w:pPr>
        <w:pStyle w:val="Prrafodelista"/>
        <w:numPr>
          <w:ilvl w:val="0"/>
          <w:numId w:val="4"/>
        </w:numPr>
        <w:spacing w:after="0" w:line="360" w:lineRule="auto"/>
        <w:jc w:val="both"/>
        <w:rPr>
          <w:rFonts w:ascii="Arial" w:hAnsi="Arial" w:cs="Arial"/>
          <w:sz w:val="24"/>
          <w:szCs w:val="24"/>
        </w:rPr>
      </w:pPr>
      <w:r>
        <w:rPr>
          <w:rFonts w:ascii="Arial" w:hAnsi="Arial" w:cs="Arial"/>
          <w:sz w:val="24"/>
          <w:szCs w:val="24"/>
        </w:rPr>
        <w:t>Ap25. En el trabajo, me estimula intercambiar opiniones con mis compañeros, amigos o familiares sobre los temas que estoy estudiando.</w:t>
      </w:r>
    </w:p>
    <w:p w14:paraId="10688E02" w14:textId="77777777" w:rsidR="0093626A" w:rsidRDefault="00000000" w:rsidP="005915A7">
      <w:pPr>
        <w:pStyle w:val="Prrafodelista"/>
        <w:numPr>
          <w:ilvl w:val="0"/>
          <w:numId w:val="4"/>
        </w:numPr>
        <w:spacing w:after="0" w:line="360" w:lineRule="auto"/>
        <w:jc w:val="both"/>
        <w:rPr>
          <w:rFonts w:ascii="Arial" w:hAnsi="Arial" w:cs="Arial"/>
          <w:sz w:val="24"/>
          <w:szCs w:val="24"/>
        </w:rPr>
      </w:pPr>
      <w:r>
        <w:rPr>
          <w:rFonts w:ascii="Arial" w:hAnsi="Arial" w:cs="Arial"/>
          <w:sz w:val="24"/>
          <w:szCs w:val="24"/>
        </w:rPr>
        <w:t>Ap27. Evito o resuelvo, mediante el diálogo, los conflictos que surgen en la relación personal con mis compañeros, profesores o familiares.</w:t>
      </w:r>
    </w:p>
    <w:p w14:paraId="161C954E" w14:textId="77777777" w:rsidR="0093626A" w:rsidRDefault="00000000" w:rsidP="005915A7">
      <w:pPr>
        <w:pStyle w:val="Prrafodelista"/>
        <w:numPr>
          <w:ilvl w:val="0"/>
          <w:numId w:val="4"/>
        </w:numPr>
        <w:spacing w:after="0" w:line="360" w:lineRule="auto"/>
        <w:jc w:val="both"/>
        <w:rPr>
          <w:rFonts w:ascii="Arial" w:hAnsi="Arial" w:cs="Arial"/>
          <w:sz w:val="24"/>
          <w:szCs w:val="24"/>
        </w:rPr>
      </w:pPr>
      <w:r>
        <w:rPr>
          <w:rFonts w:ascii="Arial" w:hAnsi="Arial" w:cs="Arial"/>
          <w:sz w:val="24"/>
          <w:szCs w:val="24"/>
        </w:rPr>
        <w:t>Co9. Acudo a los amigos, profesores o familiares cuando tengo dudas o puntos oscuros en los temas de estudio o para intercambiar información.</w:t>
      </w:r>
    </w:p>
    <w:p w14:paraId="61989C1D" w14:textId="77777777" w:rsidR="0093626A" w:rsidRDefault="00000000" w:rsidP="005915A7">
      <w:pPr>
        <w:pStyle w:val="Prrafodelista"/>
        <w:numPr>
          <w:ilvl w:val="0"/>
          <w:numId w:val="4"/>
        </w:numPr>
        <w:spacing w:after="0" w:line="360" w:lineRule="auto"/>
        <w:jc w:val="both"/>
        <w:rPr>
          <w:rFonts w:ascii="Arial" w:hAnsi="Arial" w:cs="Arial"/>
          <w:sz w:val="24"/>
          <w:szCs w:val="24"/>
        </w:rPr>
      </w:pPr>
      <w:r>
        <w:rPr>
          <w:rFonts w:ascii="Arial" w:hAnsi="Arial" w:cs="Arial"/>
          <w:sz w:val="24"/>
          <w:szCs w:val="24"/>
        </w:rPr>
        <w:t>Ap26. Me satisface que mis compañeros, profesores y familiares valoren positivamente mi trabajo.</w:t>
      </w:r>
    </w:p>
    <w:p w14:paraId="36A9E904" w14:textId="40D92AA2" w:rsidR="0093626A" w:rsidRDefault="00000000" w:rsidP="005915A7">
      <w:pPr>
        <w:pStyle w:val="Prrafodelista"/>
        <w:numPr>
          <w:ilvl w:val="0"/>
          <w:numId w:val="4"/>
        </w:numPr>
        <w:spacing w:after="0" w:line="360" w:lineRule="auto"/>
        <w:jc w:val="both"/>
        <w:rPr>
          <w:rFonts w:ascii="Arial" w:hAnsi="Arial" w:cs="Arial"/>
          <w:sz w:val="24"/>
          <w:szCs w:val="24"/>
        </w:rPr>
      </w:pPr>
      <w:r>
        <w:rPr>
          <w:rFonts w:ascii="Arial" w:hAnsi="Arial" w:cs="Arial"/>
          <w:sz w:val="24"/>
          <w:szCs w:val="24"/>
        </w:rPr>
        <w:t xml:space="preserve">Ap29. </w:t>
      </w:r>
      <w:r w:rsidR="00456D5C">
        <w:rPr>
          <w:rFonts w:ascii="Arial" w:hAnsi="Arial" w:cs="Arial"/>
          <w:sz w:val="24"/>
          <w:szCs w:val="24"/>
        </w:rPr>
        <w:t>Ánimo</w:t>
      </w:r>
      <w:r>
        <w:rPr>
          <w:rFonts w:ascii="Arial" w:hAnsi="Arial" w:cs="Arial"/>
          <w:sz w:val="24"/>
          <w:szCs w:val="24"/>
        </w:rPr>
        <w:t xml:space="preserve"> y ayudo a mis compañeros para que obtengan el mayor éxito posible en las tareas escolares.</w:t>
      </w:r>
    </w:p>
    <w:p w14:paraId="2F5D082F" w14:textId="77777777" w:rsidR="0093626A" w:rsidRDefault="0093626A" w:rsidP="005915A7">
      <w:pPr>
        <w:spacing w:after="0" w:line="360" w:lineRule="auto"/>
        <w:ind w:firstLine="708"/>
        <w:jc w:val="both"/>
        <w:rPr>
          <w:rFonts w:ascii="Arial" w:hAnsi="Arial" w:cs="Arial"/>
          <w:sz w:val="24"/>
          <w:szCs w:val="24"/>
        </w:rPr>
      </w:pPr>
    </w:p>
    <w:p w14:paraId="1F0FC2BA" w14:textId="77777777" w:rsidR="0093626A" w:rsidRDefault="00000000" w:rsidP="005915A7">
      <w:pPr>
        <w:spacing w:after="0" w:line="360" w:lineRule="auto"/>
        <w:ind w:firstLine="708"/>
        <w:jc w:val="both"/>
        <w:rPr>
          <w:rFonts w:ascii="Arial" w:hAnsi="Arial" w:cs="Arial"/>
          <w:sz w:val="24"/>
          <w:szCs w:val="24"/>
        </w:rPr>
      </w:pPr>
      <w:r>
        <w:rPr>
          <w:rFonts w:ascii="Arial" w:hAnsi="Arial" w:cs="Arial"/>
          <w:sz w:val="24"/>
          <w:szCs w:val="24"/>
        </w:rPr>
        <w:t>El modelo estadístico mostró un valor-P en la tabla ANOVA menor de 0.05, por lo que existió una relación estadísticamente significativa entre las variables con un nivel de confianza del 95.0%. Para determinar si el modelo podía simplificarse, el valor-P más alto de las variables independientes fue 0.5475, que correspondía al ítem ap26, por lo que no fue estadísticamente significativo y se eliminó del modelo. En la tabla 5 se muestra el desglose del modelo estadístico para relacionar la variable calificación con los cinco ítems que componen al factor de apoyo social en la dimensión II de apoyo al aprendizaje. se puede observar que, de los cinco ítems, el que más se relaciona con la calificación es el co9 correspondiente a “Acudo a los amigos, profesores o familiares cuando tengo dudas o puntos oscuros en los temas de estudio o para intercambiar información”.</w:t>
      </w:r>
    </w:p>
    <w:p w14:paraId="3AAE1045" w14:textId="77777777" w:rsidR="0093626A" w:rsidRDefault="0093626A" w:rsidP="005915A7">
      <w:pPr>
        <w:spacing w:after="0" w:line="360" w:lineRule="auto"/>
        <w:jc w:val="both"/>
        <w:rPr>
          <w:rFonts w:ascii="Arial" w:hAnsi="Arial" w:cs="Arial"/>
          <w:b/>
          <w:bCs/>
          <w:sz w:val="24"/>
          <w:szCs w:val="24"/>
        </w:rPr>
      </w:pPr>
    </w:p>
    <w:p w14:paraId="2471CBF8" w14:textId="77777777" w:rsidR="006E7A7E" w:rsidRDefault="006E7A7E" w:rsidP="005915A7">
      <w:pPr>
        <w:spacing w:after="0" w:line="360" w:lineRule="auto"/>
        <w:jc w:val="both"/>
        <w:rPr>
          <w:rFonts w:ascii="Arial" w:hAnsi="Arial" w:cs="Arial"/>
          <w:b/>
          <w:bCs/>
          <w:sz w:val="24"/>
          <w:szCs w:val="24"/>
        </w:rPr>
      </w:pPr>
    </w:p>
    <w:p w14:paraId="7430F65C" w14:textId="77777777" w:rsidR="0093626A" w:rsidRDefault="00000000" w:rsidP="005915A7">
      <w:pPr>
        <w:spacing w:after="0" w:line="360" w:lineRule="auto"/>
        <w:jc w:val="both"/>
        <w:rPr>
          <w:rFonts w:ascii="Arial" w:hAnsi="Arial" w:cs="Arial"/>
          <w:b/>
          <w:bCs/>
          <w:sz w:val="24"/>
          <w:szCs w:val="24"/>
        </w:rPr>
      </w:pPr>
      <w:r>
        <w:rPr>
          <w:rFonts w:ascii="Arial" w:hAnsi="Arial" w:cs="Arial"/>
          <w:b/>
          <w:bCs/>
          <w:sz w:val="24"/>
          <w:szCs w:val="24"/>
        </w:rPr>
        <w:lastRenderedPageBreak/>
        <w:t>Tabla 5</w:t>
      </w:r>
    </w:p>
    <w:p w14:paraId="15681618" w14:textId="77777777" w:rsidR="0093626A" w:rsidRPr="00634580" w:rsidRDefault="00000000" w:rsidP="005915A7">
      <w:pPr>
        <w:spacing w:after="0" w:line="360" w:lineRule="auto"/>
        <w:jc w:val="both"/>
        <w:rPr>
          <w:rFonts w:ascii="Arial" w:hAnsi="Arial" w:cs="Arial"/>
          <w:sz w:val="24"/>
          <w:szCs w:val="24"/>
        </w:rPr>
      </w:pPr>
      <w:r w:rsidRPr="00634580">
        <w:rPr>
          <w:rFonts w:ascii="Arial" w:hAnsi="Arial" w:cs="Arial"/>
          <w:sz w:val="24"/>
          <w:szCs w:val="24"/>
        </w:rPr>
        <w:t>Modelo de regresión múltiple para analizar las variables nivel de calificaciones y los ítems del factor de apoyo social</w:t>
      </w:r>
    </w:p>
    <w:tbl>
      <w:tblPr>
        <w:tblW w:w="8845" w:type="dxa"/>
        <w:tblInd w:w="-8" w:type="dxa"/>
        <w:tblLayout w:type="fixed"/>
        <w:tblCellMar>
          <w:left w:w="40" w:type="dxa"/>
          <w:right w:w="40" w:type="dxa"/>
        </w:tblCellMar>
        <w:tblLook w:val="04A0" w:firstRow="1" w:lastRow="0" w:firstColumn="1" w:lastColumn="0" w:noHBand="0" w:noVBand="1"/>
      </w:tblPr>
      <w:tblGrid>
        <w:gridCol w:w="1701"/>
        <w:gridCol w:w="1701"/>
        <w:gridCol w:w="1985"/>
        <w:gridCol w:w="1701"/>
        <w:gridCol w:w="1757"/>
      </w:tblGrid>
      <w:tr w:rsidR="0093626A" w14:paraId="2F05EF87" w14:textId="77777777">
        <w:trPr>
          <w:trHeight w:val="721"/>
        </w:trPr>
        <w:tc>
          <w:tcPr>
            <w:tcW w:w="1701" w:type="dxa"/>
            <w:tcBorders>
              <w:top w:val="single" w:sz="6" w:space="0" w:color="auto"/>
              <w:bottom w:val="single" w:sz="6" w:space="0" w:color="auto"/>
            </w:tcBorders>
            <w:shd w:val="clear" w:color="auto" w:fill="D0CECE" w:themeFill="background2" w:themeFillShade="E6"/>
            <w:vAlign w:val="center"/>
          </w:tcPr>
          <w:p w14:paraId="55245522" w14:textId="77777777" w:rsidR="0093626A" w:rsidRDefault="00000000" w:rsidP="005915A7">
            <w:pPr>
              <w:autoSpaceDE w:val="0"/>
              <w:autoSpaceDN w:val="0"/>
              <w:adjustRightInd w:val="0"/>
              <w:spacing w:after="0" w:line="360" w:lineRule="auto"/>
              <w:jc w:val="center"/>
              <w:rPr>
                <w:rFonts w:ascii="Arial" w:hAnsi="Arial" w:cs="Arial"/>
                <w:b/>
                <w:bCs/>
                <w:color w:val="000000" w:themeColor="text1"/>
                <w:sz w:val="24"/>
                <w:szCs w:val="24"/>
              </w:rPr>
            </w:pPr>
            <w:r>
              <w:rPr>
                <w:rFonts w:ascii="Arial" w:hAnsi="Arial" w:cs="Arial"/>
                <w:b/>
                <w:bCs/>
                <w:color w:val="000000" w:themeColor="text1"/>
                <w:sz w:val="24"/>
                <w:szCs w:val="24"/>
              </w:rPr>
              <w:t>Parámetro</w:t>
            </w:r>
          </w:p>
        </w:tc>
        <w:tc>
          <w:tcPr>
            <w:tcW w:w="1701" w:type="dxa"/>
            <w:tcBorders>
              <w:top w:val="single" w:sz="6" w:space="0" w:color="auto"/>
              <w:left w:val="nil"/>
              <w:bottom w:val="single" w:sz="6" w:space="0" w:color="auto"/>
            </w:tcBorders>
            <w:shd w:val="clear" w:color="auto" w:fill="D0CECE" w:themeFill="background2" w:themeFillShade="E6"/>
            <w:vAlign w:val="center"/>
          </w:tcPr>
          <w:p w14:paraId="6DE2DEF4" w14:textId="77777777" w:rsidR="0093626A" w:rsidRDefault="00000000" w:rsidP="005915A7">
            <w:pPr>
              <w:autoSpaceDE w:val="0"/>
              <w:autoSpaceDN w:val="0"/>
              <w:adjustRightInd w:val="0"/>
              <w:spacing w:after="0" w:line="360" w:lineRule="auto"/>
              <w:jc w:val="center"/>
              <w:rPr>
                <w:rFonts w:ascii="Arial" w:hAnsi="Arial" w:cs="Arial"/>
                <w:b/>
                <w:bCs/>
                <w:color w:val="000000" w:themeColor="text1"/>
                <w:sz w:val="24"/>
                <w:szCs w:val="24"/>
              </w:rPr>
            </w:pPr>
            <w:r>
              <w:rPr>
                <w:rFonts w:ascii="Arial" w:hAnsi="Arial" w:cs="Arial"/>
                <w:b/>
                <w:bCs/>
                <w:color w:val="000000" w:themeColor="text1"/>
                <w:sz w:val="24"/>
                <w:szCs w:val="24"/>
              </w:rPr>
              <w:t>Estimación</w:t>
            </w:r>
          </w:p>
        </w:tc>
        <w:tc>
          <w:tcPr>
            <w:tcW w:w="1985" w:type="dxa"/>
            <w:tcBorders>
              <w:top w:val="single" w:sz="6" w:space="0" w:color="auto"/>
              <w:left w:val="nil"/>
              <w:bottom w:val="single" w:sz="6" w:space="0" w:color="auto"/>
            </w:tcBorders>
            <w:shd w:val="clear" w:color="auto" w:fill="D0CECE" w:themeFill="background2" w:themeFillShade="E6"/>
            <w:vAlign w:val="center"/>
          </w:tcPr>
          <w:p w14:paraId="33901C2B" w14:textId="77777777" w:rsidR="0093626A" w:rsidRDefault="00000000" w:rsidP="005915A7">
            <w:pPr>
              <w:autoSpaceDE w:val="0"/>
              <w:autoSpaceDN w:val="0"/>
              <w:adjustRightInd w:val="0"/>
              <w:spacing w:after="0" w:line="360" w:lineRule="auto"/>
              <w:jc w:val="center"/>
              <w:rPr>
                <w:rFonts w:ascii="Arial" w:hAnsi="Arial" w:cs="Arial"/>
                <w:b/>
                <w:bCs/>
                <w:color w:val="000000" w:themeColor="text1"/>
                <w:sz w:val="24"/>
                <w:szCs w:val="24"/>
              </w:rPr>
            </w:pPr>
            <w:r>
              <w:rPr>
                <w:rFonts w:ascii="Arial" w:hAnsi="Arial" w:cs="Arial"/>
                <w:b/>
                <w:bCs/>
                <w:color w:val="000000" w:themeColor="text1"/>
                <w:sz w:val="24"/>
                <w:szCs w:val="24"/>
              </w:rPr>
              <w:t>Error Estándar</w:t>
            </w:r>
          </w:p>
        </w:tc>
        <w:tc>
          <w:tcPr>
            <w:tcW w:w="1701" w:type="dxa"/>
            <w:tcBorders>
              <w:top w:val="single" w:sz="6" w:space="0" w:color="auto"/>
              <w:left w:val="nil"/>
              <w:bottom w:val="single" w:sz="6" w:space="0" w:color="auto"/>
            </w:tcBorders>
            <w:shd w:val="clear" w:color="auto" w:fill="D0CECE" w:themeFill="background2" w:themeFillShade="E6"/>
            <w:vAlign w:val="center"/>
          </w:tcPr>
          <w:p w14:paraId="3A957C42" w14:textId="77777777" w:rsidR="0093626A" w:rsidRDefault="00000000" w:rsidP="005915A7">
            <w:pPr>
              <w:autoSpaceDE w:val="0"/>
              <w:autoSpaceDN w:val="0"/>
              <w:adjustRightInd w:val="0"/>
              <w:spacing w:after="0" w:line="360" w:lineRule="auto"/>
              <w:jc w:val="center"/>
              <w:rPr>
                <w:rFonts w:ascii="Arial" w:hAnsi="Arial" w:cs="Arial"/>
                <w:b/>
                <w:bCs/>
                <w:color w:val="000000" w:themeColor="text1"/>
                <w:sz w:val="24"/>
                <w:szCs w:val="24"/>
              </w:rPr>
            </w:pPr>
            <w:r>
              <w:rPr>
                <w:rFonts w:ascii="Arial" w:hAnsi="Arial" w:cs="Arial"/>
                <w:b/>
                <w:bCs/>
                <w:color w:val="000000" w:themeColor="text1"/>
                <w:sz w:val="24"/>
                <w:szCs w:val="24"/>
              </w:rPr>
              <w:t>Estadístico T</w:t>
            </w:r>
          </w:p>
        </w:tc>
        <w:tc>
          <w:tcPr>
            <w:tcW w:w="1757" w:type="dxa"/>
            <w:tcBorders>
              <w:top w:val="single" w:sz="6" w:space="0" w:color="auto"/>
              <w:left w:val="nil"/>
              <w:bottom w:val="single" w:sz="6" w:space="0" w:color="auto"/>
            </w:tcBorders>
            <w:shd w:val="clear" w:color="auto" w:fill="D0CECE" w:themeFill="background2" w:themeFillShade="E6"/>
            <w:vAlign w:val="center"/>
          </w:tcPr>
          <w:p w14:paraId="13CCB344" w14:textId="77777777" w:rsidR="0093626A" w:rsidRDefault="00000000" w:rsidP="005915A7">
            <w:pPr>
              <w:autoSpaceDE w:val="0"/>
              <w:autoSpaceDN w:val="0"/>
              <w:adjustRightInd w:val="0"/>
              <w:spacing w:after="0" w:line="360" w:lineRule="auto"/>
              <w:jc w:val="center"/>
              <w:rPr>
                <w:rFonts w:ascii="Arial" w:hAnsi="Arial" w:cs="Arial"/>
                <w:b/>
                <w:bCs/>
                <w:color w:val="000000" w:themeColor="text1"/>
                <w:sz w:val="24"/>
                <w:szCs w:val="24"/>
              </w:rPr>
            </w:pPr>
            <w:r>
              <w:rPr>
                <w:rFonts w:ascii="Arial" w:hAnsi="Arial" w:cs="Arial"/>
                <w:b/>
                <w:bCs/>
                <w:color w:val="000000" w:themeColor="text1"/>
                <w:sz w:val="24"/>
                <w:szCs w:val="24"/>
              </w:rPr>
              <w:t>Valor-P</w:t>
            </w:r>
          </w:p>
        </w:tc>
      </w:tr>
      <w:tr w:rsidR="0093626A" w14:paraId="28A2BC7B" w14:textId="77777777">
        <w:trPr>
          <w:trHeight w:val="284"/>
        </w:trPr>
        <w:tc>
          <w:tcPr>
            <w:tcW w:w="1701" w:type="dxa"/>
            <w:tcBorders>
              <w:top w:val="single" w:sz="6" w:space="0" w:color="auto"/>
              <w:bottom w:val="single" w:sz="6" w:space="0" w:color="auto"/>
            </w:tcBorders>
            <w:vAlign w:val="center"/>
          </w:tcPr>
          <w:p w14:paraId="11C2CDE3" w14:textId="77777777" w:rsidR="0093626A" w:rsidRDefault="00000000" w:rsidP="005915A7">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color w:val="000000" w:themeColor="text1"/>
                <w:sz w:val="24"/>
                <w:szCs w:val="24"/>
              </w:rPr>
              <w:t>CONSTANTE</w:t>
            </w:r>
          </w:p>
        </w:tc>
        <w:tc>
          <w:tcPr>
            <w:tcW w:w="1701" w:type="dxa"/>
            <w:tcBorders>
              <w:top w:val="single" w:sz="6" w:space="0" w:color="auto"/>
              <w:left w:val="nil"/>
              <w:bottom w:val="single" w:sz="6" w:space="0" w:color="auto"/>
            </w:tcBorders>
            <w:vAlign w:val="center"/>
          </w:tcPr>
          <w:p w14:paraId="796127A5" w14:textId="77777777" w:rsidR="0093626A" w:rsidRDefault="00000000" w:rsidP="005915A7">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color w:val="000000" w:themeColor="text1"/>
                <w:sz w:val="24"/>
                <w:szCs w:val="24"/>
              </w:rPr>
              <w:t>1.06511</w:t>
            </w:r>
          </w:p>
        </w:tc>
        <w:tc>
          <w:tcPr>
            <w:tcW w:w="1985" w:type="dxa"/>
            <w:tcBorders>
              <w:top w:val="single" w:sz="6" w:space="0" w:color="auto"/>
              <w:left w:val="nil"/>
              <w:bottom w:val="single" w:sz="6" w:space="0" w:color="auto"/>
            </w:tcBorders>
            <w:vAlign w:val="center"/>
          </w:tcPr>
          <w:p w14:paraId="1F3AEF43" w14:textId="77777777" w:rsidR="0093626A" w:rsidRDefault="00000000" w:rsidP="005915A7">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color w:val="000000" w:themeColor="text1"/>
                <w:sz w:val="24"/>
                <w:szCs w:val="24"/>
              </w:rPr>
              <w:t>0.126327</w:t>
            </w:r>
          </w:p>
        </w:tc>
        <w:tc>
          <w:tcPr>
            <w:tcW w:w="1701" w:type="dxa"/>
            <w:tcBorders>
              <w:top w:val="single" w:sz="6" w:space="0" w:color="auto"/>
              <w:left w:val="nil"/>
              <w:bottom w:val="single" w:sz="6" w:space="0" w:color="auto"/>
            </w:tcBorders>
            <w:vAlign w:val="center"/>
          </w:tcPr>
          <w:p w14:paraId="32F99CCE" w14:textId="77777777" w:rsidR="0093626A" w:rsidRDefault="00000000" w:rsidP="005915A7">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color w:val="000000" w:themeColor="text1"/>
                <w:sz w:val="24"/>
                <w:szCs w:val="24"/>
              </w:rPr>
              <w:t>8.43135</w:t>
            </w:r>
          </w:p>
        </w:tc>
        <w:tc>
          <w:tcPr>
            <w:tcW w:w="1757" w:type="dxa"/>
            <w:tcBorders>
              <w:top w:val="single" w:sz="6" w:space="0" w:color="auto"/>
              <w:left w:val="nil"/>
              <w:bottom w:val="single" w:sz="6" w:space="0" w:color="auto"/>
            </w:tcBorders>
            <w:vAlign w:val="center"/>
          </w:tcPr>
          <w:p w14:paraId="2D015EE8" w14:textId="77777777" w:rsidR="0093626A" w:rsidRDefault="00000000" w:rsidP="005915A7">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color w:val="000000" w:themeColor="text1"/>
                <w:sz w:val="24"/>
                <w:szCs w:val="24"/>
              </w:rPr>
              <w:t>0.0000</w:t>
            </w:r>
          </w:p>
        </w:tc>
      </w:tr>
      <w:tr w:rsidR="0093626A" w14:paraId="70E7CF84" w14:textId="77777777">
        <w:trPr>
          <w:trHeight w:val="284"/>
        </w:trPr>
        <w:tc>
          <w:tcPr>
            <w:tcW w:w="1701" w:type="dxa"/>
            <w:tcBorders>
              <w:top w:val="single" w:sz="6" w:space="0" w:color="auto"/>
              <w:bottom w:val="single" w:sz="6" w:space="0" w:color="auto"/>
            </w:tcBorders>
            <w:vAlign w:val="center"/>
          </w:tcPr>
          <w:p w14:paraId="06257821" w14:textId="77777777" w:rsidR="0093626A" w:rsidRDefault="00000000" w:rsidP="005915A7">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color w:val="000000" w:themeColor="text1"/>
                <w:sz w:val="24"/>
                <w:szCs w:val="24"/>
              </w:rPr>
              <w:t>ap25</w:t>
            </w:r>
          </w:p>
        </w:tc>
        <w:tc>
          <w:tcPr>
            <w:tcW w:w="1701" w:type="dxa"/>
            <w:tcBorders>
              <w:top w:val="single" w:sz="6" w:space="0" w:color="auto"/>
              <w:left w:val="nil"/>
              <w:bottom w:val="single" w:sz="6" w:space="0" w:color="auto"/>
            </w:tcBorders>
            <w:vAlign w:val="center"/>
          </w:tcPr>
          <w:p w14:paraId="667E3B5D" w14:textId="77777777" w:rsidR="0093626A" w:rsidRDefault="00000000" w:rsidP="005915A7">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color w:val="000000" w:themeColor="text1"/>
                <w:sz w:val="24"/>
                <w:szCs w:val="24"/>
              </w:rPr>
              <w:t>-0.0196237</w:t>
            </w:r>
          </w:p>
        </w:tc>
        <w:tc>
          <w:tcPr>
            <w:tcW w:w="1985" w:type="dxa"/>
            <w:tcBorders>
              <w:top w:val="single" w:sz="6" w:space="0" w:color="auto"/>
              <w:left w:val="nil"/>
              <w:bottom w:val="single" w:sz="6" w:space="0" w:color="auto"/>
            </w:tcBorders>
            <w:vAlign w:val="center"/>
          </w:tcPr>
          <w:p w14:paraId="13B85387" w14:textId="77777777" w:rsidR="0093626A" w:rsidRDefault="00000000" w:rsidP="005915A7">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color w:val="000000" w:themeColor="text1"/>
                <w:sz w:val="24"/>
                <w:szCs w:val="24"/>
              </w:rPr>
              <w:t>0.0287587</w:t>
            </w:r>
          </w:p>
        </w:tc>
        <w:tc>
          <w:tcPr>
            <w:tcW w:w="1701" w:type="dxa"/>
            <w:tcBorders>
              <w:top w:val="single" w:sz="6" w:space="0" w:color="auto"/>
              <w:left w:val="nil"/>
              <w:bottom w:val="single" w:sz="6" w:space="0" w:color="auto"/>
            </w:tcBorders>
            <w:vAlign w:val="center"/>
          </w:tcPr>
          <w:p w14:paraId="2169155F" w14:textId="77777777" w:rsidR="0093626A" w:rsidRDefault="00000000" w:rsidP="005915A7">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color w:val="000000" w:themeColor="text1"/>
                <w:sz w:val="24"/>
                <w:szCs w:val="24"/>
              </w:rPr>
              <w:t>-0.682356</w:t>
            </w:r>
          </w:p>
        </w:tc>
        <w:tc>
          <w:tcPr>
            <w:tcW w:w="1757" w:type="dxa"/>
            <w:tcBorders>
              <w:top w:val="single" w:sz="6" w:space="0" w:color="auto"/>
              <w:left w:val="nil"/>
              <w:bottom w:val="single" w:sz="6" w:space="0" w:color="auto"/>
            </w:tcBorders>
            <w:vAlign w:val="center"/>
          </w:tcPr>
          <w:p w14:paraId="5765A13F" w14:textId="77777777" w:rsidR="0093626A" w:rsidRDefault="00000000" w:rsidP="005915A7">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color w:val="000000" w:themeColor="text1"/>
                <w:sz w:val="24"/>
                <w:szCs w:val="24"/>
              </w:rPr>
              <w:t>0.4954</w:t>
            </w:r>
          </w:p>
        </w:tc>
      </w:tr>
      <w:tr w:rsidR="0093626A" w14:paraId="0E0E6837" w14:textId="77777777">
        <w:trPr>
          <w:trHeight w:val="284"/>
        </w:trPr>
        <w:tc>
          <w:tcPr>
            <w:tcW w:w="1701" w:type="dxa"/>
            <w:tcBorders>
              <w:top w:val="single" w:sz="6" w:space="0" w:color="auto"/>
              <w:bottom w:val="single" w:sz="6" w:space="0" w:color="auto"/>
            </w:tcBorders>
            <w:vAlign w:val="center"/>
          </w:tcPr>
          <w:p w14:paraId="0810EECC" w14:textId="77777777" w:rsidR="0093626A" w:rsidRDefault="00000000" w:rsidP="005915A7">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color w:val="000000" w:themeColor="text1"/>
                <w:sz w:val="24"/>
                <w:szCs w:val="24"/>
              </w:rPr>
              <w:t>ap27</w:t>
            </w:r>
          </w:p>
        </w:tc>
        <w:tc>
          <w:tcPr>
            <w:tcW w:w="1701" w:type="dxa"/>
            <w:tcBorders>
              <w:top w:val="single" w:sz="6" w:space="0" w:color="auto"/>
              <w:left w:val="nil"/>
              <w:bottom w:val="single" w:sz="6" w:space="0" w:color="auto"/>
            </w:tcBorders>
            <w:vAlign w:val="center"/>
          </w:tcPr>
          <w:p w14:paraId="0CA5B4B2" w14:textId="77777777" w:rsidR="0093626A" w:rsidRDefault="00000000" w:rsidP="005915A7">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color w:val="000000" w:themeColor="text1"/>
                <w:sz w:val="24"/>
                <w:szCs w:val="24"/>
              </w:rPr>
              <w:t>-0.0254953</w:t>
            </w:r>
          </w:p>
        </w:tc>
        <w:tc>
          <w:tcPr>
            <w:tcW w:w="1985" w:type="dxa"/>
            <w:tcBorders>
              <w:top w:val="single" w:sz="6" w:space="0" w:color="auto"/>
              <w:left w:val="nil"/>
              <w:bottom w:val="single" w:sz="6" w:space="0" w:color="auto"/>
            </w:tcBorders>
            <w:vAlign w:val="center"/>
          </w:tcPr>
          <w:p w14:paraId="4C11C710" w14:textId="77777777" w:rsidR="0093626A" w:rsidRDefault="00000000" w:rsidP="005915A7">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color w:val="000000" w:themeColor="text1"/>
                <w:sz w:val="24"/>
                <w:szCs w:val="24"/>
              </w:rPr>
              <w:t>0.0299783</w:t>
            </w:r>
          </w:p>
        </w:tc>
        <w:tc>
          <w:tcPr>
            <w:tcW w:w="1701" w:type="dxa"/>
            <w:tcBorders>
              <w:top w:val="single" w:sz="6" w:space="0" w:color="auto"/>
              <w:left w:val="nil"/>
              <w:bottom w:val="single" w:sz="6" w:space="0" w:color="auto"/>
            </w:tcBorders>
            <w:vAlign w:val="center"/>
          </w:tcPr>
          <w:p w14:paraId="610E85B4" w14:textId="77777777" w:rsidR="0093626A" w:rsidRDefault="00000000" w:rsidP="005915A7">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color w:val="000000" w:themeColor="text1"/>
                <w:sz w:val="24"/>
                <w:szCs w:val="24"/>
              </w:rPr>
              <w:t>-0.850457</w:t>
            </w:r>
          </w:p>
        </w:tc>
        <w:tc>
          <w:tcPr>
            <w:tcW w:w="1757" w:type="dxa"/>
            <w:tcBorders>
              <w:top w:val="single" w:sz="6" w:space="0" w:color="auto"/>
              <w:left w:val="nil"/>
              <w:bottom w:val="single" w:sz="6" w:space="0" w:color="auto"/>
            </w:tcBorders>
            <w:vAlign w:val="center"/>
          </w:tcPr>
          <w:p w14:paraId="052C42E1" w14:textId="77777777" w:rsidR="0093626A" w:rsidRDefault="00000000" w:rsidP="005915A7">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color w:val="000000" w:themeColor="text1"/>
                <w:sz w:val="24"/>
                <w:szCs w:val="24"/>
              </w:rPr>
              <w:t>0.3955</w:t>
            </w:r>
          </w:p>
        </w:tc>
      </w:tr>
      <w:tr w:rsidR="0093626A" w14:paraId="6248A0CB" w14:textId="77777777">
        <w:trPr>
          <w:trHeight w:val="308"/>
        </w:trPr>
        <w:tc>
          <w:tcPr>
            <w:tcW w:w="1701" w:type="dxa"/>
            <w:tcBorders>
              <w:top w:val="single" w:sz="6" w:space="0" w:color="auto"/>
              <w:bottom w:val="single" w:sz="6" w:space="0" w:color="auto"/>
            </w:tcBorders>
            <w:vAlign w:val="center"/>
          </w:tcPr>
          <w:p w14:paraId="59C0BB7A" w14:textId="77777777" w:rsidR="0093626A" w:rsidRDefault="00000000" w:rsidP="005915A7">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color w:val="000000" w:themeColor="text1"/>
                <w:sz w:val="24"/>
                <w:szCs w:val="24"/>
              </w:rPr>
              <w:t>co9</w:t>
            </w:r>
          </w:p>
        </w:tc>
        <w:tc>
          <w:tcPr>
            <w:tcW w:w="1701" w:type="dxa"/>
            <w:tcBorders>
              <w:top w:val="single" w:sz="6" w:space="0" w:color="auto"/>
              <w:left w:val="nil"/>
              <w:bottom w:val="single" w:sz="6" w:space="0" w:color="auto"/>
            </w:tcBorders>
            <w:vAlign w:val="center"/>
          </w:tcPr>
          <w:p w14:paraId="51E52BAF" w14:textId="77777777" w:rsidR="0093626A" w:rsidRDefault="00000000" w:rsidP="005915A7">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color w:val="000000" w:themeColor="text1"/>
                <w:sz w:val="24"/>
                <w:szCs w:val="24"/>
              </w:rPr>
              <w:t>0.0643048</w:t>
            </w:r>
          </w:p>
        </w:tc>
        <w:tc>
          <w:tcPr>
            <w:tcW w:w="1985" w:type="dxa"/>
            <w:tcBorders>
              <w:top w:val="single" w:sz="6" w:space="0" w:color="auto"/>
              <w:left w:val="nil"/>
              <w:bottom w:val="single" w:sz="6" w:space="0" w:color="auto"/>
            </w:tcBorders>
            <w:vAlign w:val="center"/>
          </w:tcPr>
          <w:p w14:paraId="5FC9B5C9" w14:textId="77777777" w:rsidR="0093626A" w:rsidRDefault="00000000" w:rsidP="005915A7">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color w:val="000000" w:themeColor="text1"/>
                <w:sz w:val="24"/>
                <w:szCs w:val="24"/>
              </w:rPr>
              <w:t>0.0297379</w:t>
            </w:r>
          </w:p>
        </w:tc>
        <w:tc>
          <w:tcPr>
            <w:tcW w:w="1701" w:type="dxa"/>
            <w:tcBorders>
              <w:top w:val="single" w:sz="6" w:space="0" w:color="auto"/>
              <w:left w:val="nil"/>
              <w:bottom w:val="single" w:sz="6" w:space="0" w:color="auto"/>
            </w:tcBorders>
            <w:vAlign w:val="center"/>
          </w:tcPr>
          <w:p w14:paraId="584FB85C" w14:textId="77777777" w:rsidR="0093626A" w:rsidRDefault="00000000" w:rsidP="005915A7">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color w:val="000000" w:themeColor="text1"/>
                <w:sz w:val="24"/>
                <w:szCs w:val="24"/>
              </w:rPr>
              <w:t>2.16239</w:t>
            </w:r>
          </w:p>
        </w:tc>
        <w:tc>
          <w:tcPr>
            <w:tcW w:w="1757" w:type="dxa"/>
            <w:tcBorders>
              <w:top w:val="single" w:sz="6" w:space="0" w:color="auto"/>
              <w:left w:val="nil"/>
              <w:bottom w:val="single" w:sz="6" w:space="0" w:color="auto"/>
            </w:tcBorders>
            <w:vAlign w:val="center"/>
          </w:tcPr>
          <w:p w14:paraId="0560812F" w14:textId="77777777" w:rsidR="0093626A" w:rsidRDefault="00000000" w:rsidP="005915A7">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color w:val="000000" w:themeColor="text1"/>
                <w:sz w:val="24"/>
                <w:szCs w:val="24"/>
              </w:rPr>
              <w:t>0.0311</w:t>
            </w:r>
          </w:p>
        </w:tc>
      </w:tr>
      <w:tr w:rsidR="0093626A" w14:paraId="173A53D4" w14:textId="77777777">
        <w:trPr>
          <w:trHeight w:val="284"/>
        </w:trPr>
        <w:tc>
          <w:tcPr>
            <w:tcW w:w="1701" w:type="dxa"/>
            <w:tcBorders>
              <w:top w:val="single" w:sz="6" w:space="0" w:color="auto"/>
              <w:bottom w:val="single" w:sz="6" w:space="0" w:color="auto"/>
            </w:tcBorders>
            <w:vAlign w:val="center"/>
          </w:tcPr>
          <w:p w14:paraId="174D78D8" w14:textId="77777777" w:rsidR="0093626A" w:rsidRDefault="00000000" w:rsidP="005915A7">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color w:val="000000" w:themeColor="text1"/>
                <w:sz w:val="24"/>
                <w:szCs w:val="24"/>
              </w:rPr>
              <w:t>ap26</w:t>
            </w:r>
          </w:p>
        </w:tc>
        <w:tc>
          <w:tcPr>
            <w:tcW w:w="1701" w:type="dxa"/>
            <w:tcBorders>
              <w:top w:val="single" w:sz="6" w:space="0" w:color="auto"/>
              <w:left w:val="nil"/>
              <w:bottom w:val="single" w:sz="6" w:space="0" w:color="auto"/>
            </w:tcBorders>
            <w:vAlign w:val="center"/>
          </w:tcPr>
          <w:p w14:paraId="1221BBEE" w14:textId="77777777" w:rsidR="0093626A" w:rsidRDefault="00000000" w:rsidP="005915A7">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color w:val="000000" w:themeColor="text1"/>
                <w:sz w:val="24"/>
                <w:szCs w:val="24"/>
              </w:rPr>
              <w:t>0.0179574</w:t>
            </w:r>
          </w:p>
        </w:tc>
        <w:tc>
          <w:tcPr>
            <w:tcW w:w="1985" w:type="dxa"/>
            <w:tcBorders>
              <w:top w:val="single" w:sz="6" w:space="0" w:color="auto"/>
              <w:left w:val="nil"/>
              <w:bottom w:val="single" w:sz="6" w:space="0" w:color="auto"/>
            </w:tcBorders>
            <w:vAlign w:val="center"/>
          </w:tcPr>
          <w:p w14:paraId="33335B8C" w14:textId="77777777" w:rsidR="0093626A" w:rsidRDefault="00000000" w:rsidP="005915A7">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color w:val="000000" w:themeColor="text1"/>
                <w:sz w:val="24"/>
                <w:szCs w:val="24"/>
              </w:rPr>
              <w:t>0.0298318</w:t>
            </w:r>
          </w:p>
        </w:tc>
        <w:tc>
          <w:tcPr>
            <w:tcW w:w="1701" w:type="dxa"/>
            <w:tcBorders>
              <w:top w:val="single" w:sz="6" w:space="0" w:color="auto"/>
              <w:left w:val="nil"/>
              <w:bottom w:val="single" w:sz="6" w:space="0" w:color="auto"/>
            </w:tcBorders>
            <w:vAlign w:val="center"/>
          </w:tcPr>
          <w:p w14:paraId="544BEBA4" w14:textId="77777777" w:rsidR="0093626A" w:rsidRDefault="00000000" w:rsidP="005915A7">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color w:val="000000" w:themeColor="text1"/>
                <w:sz w:val="24"/>
                <w:szCs w:val="24"/>
              </w:rPr>
              <w:t>0.601956</w:t>
            </w:r>
          </w:p>
        </w:tc>
        <w:tc>
          <w:tcPr>
            <w:tcW w:w="1757" w:type="dxa"/>
            <w:tcBorders>
              <w:top w:val="single" w:sz="6" w:space="0" w:color="auto"/>
              <w:left w:val="nil"/>
              <w:bottom w:val="single" w:sz="6" w:space="0" w:color="auto"/>
            </w:tcBorders>
            <w:vAlign w:val="center"/>
          </w:tcPr>
          <w:p w14:paraId="7F9BCDFD" w14:textId="77777777" w:rsidR="0093626A" w:rsidRDefault="00000000" w:rsidP="005915A7">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color w:val="000000" w:themeColor="text1"/>
                <w:sz w:val="24"/>
                <w:szCs w:val="24"/>
              </w:rPr>
              <w:t>0.5475</w:t>
            </w:r>
          </w:p>
        </w:tc>
      </w:tr>
      <w:tr w:rsidR="0093626A" w14:paraId="2EFC698D" w14:textId="77777777">
        <w:trPr>
          <w:trHeight w:val="284"/>
        </w:trPr>
        <w:tc>
          <w:tcPr>
            <w:tcW w:w="1701" w:type="dxa"/>
            <w:tcBorders>
              <w:top w:val="single" w:sz="6" w:space="0" w:color="auto"/>
              <w:bottom w:val="single" w:sz="6" w:space="0" w:color="auto"/>
            </w:tcBorders>
            <w:vAlign w:val="center"/>
          </w:tcPr>
          <w:p w14:paraId="33AEBBAA" w14:textId="77777777" w:rsidR="0093626A" w:rsidRDefault="00000000" w:rsidP="005915A7">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color w:val="000000" w:themeColor="text1"/>
                <w:sz w:val="24"/>
                <w:szCs w:val="24"/>
              </w:rPr>
              <w:t>ap29</w:t>
            </w:r>
          </w:p>
        </w:tc>
        <w:tc>
          <w:tcPr>
            <w:tcW w:w="1701" w:type="dxa"/>
            <w:tcBorders>
              <w:top w:val="single" w:sz="6" w:space="0" w:color="auto"/>
              <w:left w:val="nil"/>
              <w:bottom w:val="single" w:sz="6" w:space="0" w:color="auto"/>
            </w:tcBorders>
            <w:vAlign w:val="center"/>
          </w:tcPr>
          <w:p w14:paraId="516245D1" w14:textId="77777777" w:rsidR="0093626A" w:rsidRDefault="00000000" w:rsidP="005915A7">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color w:val="000000" w:themeColor="text1"/>
                <w:sz w:val="24"/>
                <w:szCs w:val="24"/>
              </w:rPr>
              <w:t>0.0445161</w:t>
            </w:r>
          </w:p>
        </w:tc>
        <w:tc>
          <w:tcPr>
            <w:tcW w:w="1985" w:type="dxa"/>
            <w:tcBorders>
              <w:top w:val="single" w:sz="6" w:space="0" w:color="auto"/>
              <w:left w:val="nil"/>
              <w:bottom w:val="single" w:sz="6" w:space="0" w:color="auto"/>
            </w:tcBorders>
            <w:vAlign w:val="center"/>
          </w:tcPr>
          <w:p w14:paraId="421D53B1" w14:textId="77777777" w:rsidR="0093626A" w:rsidRDefault="00000000" w:rsidP="005915A7">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color w:val="000000" w:themeColor="text1"/>
                <w:sz w:val="24"/>
                <w:szCs w:val="24"/>
              </w:rPr>
              <w:t>0.0318181</w:t>
            </w:r>
          </w:p>
        </w:tc>
        <w:tc>
          <w:tcPr>
            <w:tcW w:w="1701" w:type="dxa"/>
            <w:tcBorders>
              <w:top w:val="single" w:sz="6" w:space="0" w:color="auto"/>
              <w:left w:val="nil"/>
              <w:bottom w:val="single" w:sz="6" w:space="0" w:color="auto"/>
            </w:tcBorders>
            <w:vAlign w:val="center"/>
          </w:tcPr>
          <w:p w14:paraId="7A20954C" w14:textId="77777777" w:rsidR="0093626A" w:rsidRDefault="00000000" w:rsidP="005915A7">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color w:val="000000" w:themeColor="text1"/>
                <w:sz w:val="24"/>
                <w:szCs w:val="24"/>
              </w:rPr>
              <w:t>1.39908</w:t>
            </w:r>
          </w:p>
        </w:tc>
        <w:tc>
          <w:tcPr>
            <w:tcW w:w="1757" w:type="dxa"/>
            <w:tcBorders>
              <w:top w:val="single" w:sz="6" w:space="0" w:color="auto"/>
              <w:left w:val="nil"/>
              <w:bottom w:val="single" w:sz="6" w:space="0" w:color="auto"/>
            </w:tcBorders>
            <w:vAlign w:val="center"/>
          </w:tcPr>
          <w:p w14:paraId="4F0C894F" w14:textId="77777777" w:rsidR="0093626A" w:rsidRDefault="00000000" w:rsidP="005915A7">
            <w:pPr>
              <w:autoSpaceDE w:val="0"/>
              <w:autoSpaceDN w:val="0"/>
              <w:adjustRightInd w:val="0"/>
              <w:spacing w:after="0" w:line="360" w:lineRule="auto"/>
              <w:jc w:val="center"/>
              <w:rPr>
                <w:rFonts w:ascii="Arial" w:hAnsi="Arial" w:cs="Arial"/>
                <w:color w:val="000000" w:themeColor="text1"/>
                <w:sz w:val="24"/>
                <w:szCs w:val="24"/>
              </w:rPr>
            </w:pPr>
            <w:r>
              <w:rPr>
                <w:rFonts w:ascii="Arial" w:hAnsi="Arial" w:cs="Arial"/>
                <w:color w:val="000000" w:themeColor="text1"/>
                <w:sz w:val="24"/>
                <w:szCs w:val="24"/>
              </w:rPr>
              <w:t>0.1625</w:t>
            </w:r>
          </w:p>
        </w:tc>
      </w:tr>
    </w:tbl>
    <w:p w14:paraId="246A1580" w14:textId="77777777" w:rsidR="0093626A" w:rsidRDefault="00000000" w:rsidP="005915A7">
      <w:pPr>
        <w:spacing w:after="0" w:line="360" w:lineRule="auto"/>
        <w:jc w:val="both"/>
        <w:rPr>
          <w:rFonts w:ascii="Arial" w:hAnsi="Arial" w:cs="Arial"/>
          <w:sz w:val="20"/>
          <w:szCs w:val="20"/>
        </w:rPr>
      </w:pPr>
      <w:r w:rsidRPr="00634580">
        <w:rPr>
          <w:rFonts w:ascii="Arial" w:hAnsi="Arial" w:cs="Arial"/>
          <w:sz w:val="20"/>
          <w:szCs w:val="20"/>
        </w:rPr>
        <w:t>Fuente</w:t>
      </w:r>
      <w:r>
        <w:rPr>
          <w:rFonts w:ascii="Arial" w:hAnsi="Arial" w:cs="Arial"/>
          <w:sz w:val="20"/>
          <w:szCs w:val="20"/>
        </w:rPr>
        <w:t>: elaboración propia</w:t>
      </w:r>
    </w:p>
    <w:p w14:paraId="14C789B9" w14:textId="77777777" w:rsidR="0093626A" w:rsidRDefault="0093626A" w:rsidP="005915A7">
      <w:pPr>
        <w:spacing w:after="0" w:line="360" w:lineRule="auto"/>
        <w:jc w:val="both"/>
        <w:rPr>
          <w:rFonts w:ascii="Arial" w:hAnsi="Arial" w:cs="Arial"/>
          <w:sz w:val="24"/>
          <w:szCs w:val="24"/>
        </w:rPr>
      </w:pPr>
    </w:p>
    <w:p w14:paraId="45FB36DA" w14:textId="77777777" w:rsidR="0093626A" w:rsidRDefault="00000000" w:rsidP="005915A7">
      <w:pPr>
        <w:spacing w:after="0" w:line="360" w:lineRule="auto"/>
        <w:ind w:firstLine="708"/>
        <w:jc w:val="both"/>
        <w:rPr>
          <w:rFonts w:ascii="Arial" w:hAnsi="Arial" w:cs="Arial"/>
          <w:sz w:val="24"/>
          <w:szCs w:val="24"/>
        </w:rPr>
      </w:pPr>
      <w:r>
        <w:rPr>
          <w:rFonts w:ascii="Arial" w:hAnsi="Arial" w:cs="Arial"/>
          <w:sz w:val="24"/>
          <w:szCs w:val="24"/>
        </w:rPr>
        <w:t>Para ratificar la validez del constructo una vez que se eliminó el ítem ap26, se realizó un nuevo modelo de regresión por pasos hacia atrás del análisis de los ítems ap25, ap27, co9, ap26, ap29 para ajustar un modelo de regresión lineal múltiple. El estadístico R-Cuadrada indicó que el modelo así ajustado explicó 1.82332% de la variabilidad en nivel de calificación.  El estadístico R-Cuadrada ajustada, más apropiado para comparar modelos con diferente número de variables independientes, fue de 1.61443%.  El error estándar del estimado mostró que la desviación estándar de los residuos fue 0.666442. El error absoluto medio (MAE) de 0.5362 fue el valor promedio de los residuos.  El estadístico de Durbin-Watson (DW) examinó los residuos para determinar si había alguna correlación significativa basada en el orden en el que se presentan en el archivo de datos. El valor-P más alto de los ítems fue en co9. Para determinar si el modelo podía simplificarse, en el modelo estadístico de pasos hacia atrás, el ítem co9 presentó un valor-P de 0.0033.  De los ítems ap25, ap27, co9, ap26 y ap29 fue el más alto con un nivel de confianza del 95.0% fue el estadísticamente más significativo. Lo que significa que está más relacionado con las calificaciones de los sujetos.</w:t>
      </w:r>
    </w:p>
    <w:p w14:paraId="51742F52" w14:textId="77777777" w:rsidR="0093626A" w:rsidRDefault="0093626A" w:rsidP="005915A7">
      <w:pPr>
        <w:spacing w:after="0" w:line="360" w:lineRule="auto"/>
        <w:ind w:firstLine="708"/>
        <w:jc w:val="both"/>
        <w:rPr>
          <w:rFonts w:ascii="Arial" w:hAnsi="Arial" w:cs="Arial"/>
          <w:sz w:val="24"/>
          <w:szCs w:val="24"/>
        </w:rPr>
      </w:pPr>
    </w:p>
    <w:p w14:paraId="71484CBB" w14:textId="77777777" w:rsidR="0093626A" w:rsidRDefault="00000000" w:rsidP="005915A7">
      <w:pPr>
        <w:spacing w:after="0" w:line="360" w:lineRule="auto"/>
        <w:ind w:firstLine="708"/>
        <w:jc w:val="both"/>
        <w:rPr>
          <w:rFonts w:ascii="Arial" w:hAnsi="Arial" w:cs="Arial"/>
          <w:sz w:val="24"/>
          <w:szCs w:val="24"/>
        </w:rPr>
      </w:pPr>
      <w:r>
        <w:rPr>
          <w:rFonts w:ascii="Arial" w:hAnsi="Arial" w:cs="Arial"/>
          <w:sz w:val="24"/>
          <w:szCs w:val="24"/>
        </w:rPr>
        <w:lastRenderedPageBreak/>
        <w:t>Si bien existe una relación estadística del factor de apoyo social con las calificaciones de la muestra analizada, de los ítems que lo componen, el co9 “Acudo a los amigos, profesores o familiares cuando tengo dudas o puntos oscuros en los temas de estudio o para intercambiar información”, es el más relacionado con las calificaciones. Lo cual determina que el apoyo entre pares, con el profesor o familiares para resolver dudas o conflictos relacionados con el proceso de aprendizaje es fundamental para consolidar el aprendizaje. En la gráfica 4 se muestra el nivel de frecuencia en el que los estudiantes de la muestra implementan este ítem que alude a cómo el alumno debe mantenerse atento para modificar sus esquemas de aprendizaje, estudiar en grupo para retroalimentar su conocimiento, aprender técnicas de estudio funcionales de sus compañeros y sentirse en confianza para preguntar, para una vez entendido el tema de estudio pueda transferir y aplicar su conocimiento, bajo su propio dominio para evitar desviarse de su camino, se distingue que una cantidad significativa de personas dicen que implementan el ítem co9, pero no se ve reflejado en su rendimiento académico.</w:t>
      </w:r>
    </w:p>
    <w:p w14:paraId="7DB48A01" w14:textId="77777777" w:rsidR="0093626A" w:rsidRDefault="0093626A" w:rsidP="005915A7">
      <w:pPr>
        <w:spacing w:after="0" w:line="360" w:lineRule="auto"/>
        <w:ind w:firstLine="708"/>
        <w:jc w:val="both"/>
        <w:rPr>
          <w:rFonts w:ascii="Arial" w:hAnsi="Arial" w:cs="Arial"/>
          <w:sz w:val="24"/>
          <w:szCs w:val="24"/>
        </w:rPr>
      </w:pPr>
    </w:p>
    <w:p w14:paraId="121F541C" w14:textId="77777777" w:rsidR="0093626A" w:rsidRDefault="00000000" w:rsidP="005915A7">
      <w:pPr>
        <w:spacing w:after="0" w:line="360" w:lineRule="auto"/>
        <w:jc w:val="both"/>
        <w:rPr>
          <w:rFonts w:ascii="Arial" w:hAnsi="Arial" w:cs="Arial"/>
          <w:b/>
          <w:bCs/>
          <w:sz w:val="24"/>
          <w:szCs w:val="24"/>
        </w:rPr>
      </w:pPr>
      <w:r>
        <w:rPr>
          <w:rFonts w:ascii="Arial" w:hAnsi="Arial" w:cs="Arial"/>
          <w:b/>
          <w:bCs/>
          <w:sz w:val="24"/>
          <w:szCs w:val="24"/>
        </w:rPr>
        <w:t xml:space="preserve">Gráfica 4 </w:t>
      </w:r>
    </w:p>
    <w:p w14:paraId="56EA6081" w14:textId="77777777" w:rsidR="0093626A" w:rsidRDefault="00000000" w:rsidP="005915A7">
      <w:pPr>
        <w:spacing w:after="0" w:line="360" w:lineRule="auto"/>
        <w:jc w:val="both"/>
        <w:rPr>
          <w:rFonts w:ascii="Arial" w:hAnsi="Arial" w:cs="Arial"/>
          <w:i/>
          <w:iCs/>
          <w:sz w:val="24"/>
          <w:szCs w:val="24"/>
        </w:rPr>
      </w:pPr>
      <w:r>
        <w:rPr>
          <w:rFonts w:ascii="Arial" w:hAnsi="Arial" w:cs="Arial"/>
          <w:i/>
          <w:iCs/>
          <w:sz w:val="24"/>
          <w:szCs w:val="24"/>
        </w:rPr>
        <w:t>Frecuencia de implementación del ítem co9 de la dimensión II de estrategias de apoyo al aprendizaje</w:t>
      </w:r>
    </w:p>
    <w:p w14:paraId="788526C0" w14:textId="77777777" w:rsidR="0093626A" w:rsidRPr="00634580" w:rsidRDefault="00000000" w:rsidP="005915A7">
      <w:pPr>
        <w:spacing w:after="0" w:line="360" w:lineRule="auto"/>
        <w:jc w:val="both"/>
        <w:rPr>
          <w:rFonts w:ascii="Arial" w:hAnsi="Arial" w:cs="Arial"/>
          <w:sz w:val="24"/>
          <w:szCs w:val="24"/>
        </w:rPr>
      </w:pPr>
      <w:r w:rsidRPr="00634580">
        <w:rPr>
          <w:rFonts w:ascii="Arial" w:hAnsi="Arial" w:cs="Arial"/>
          <w:noProof/>
          <w:sz w:val="24"/>
          <w:szCs w:val="24"/>
        </w:rPr>
        <w:drawing>
          <wp:inline distT="0" distB="0" distL="0" distR="0" wp14:anchorId="41C49C8C" wp14:editId="2EB67E9A">
            <wp:extent cx="4572000" cy="2752725"/>
            <wp:effectExtent l="0" t="0" r="0" b="0"/>
            <wp:docPr id="447607852" name="Imagen 447607852"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607852" name="Imagen 447607852" descr="Gráfico, Gráfico de barras&#10;&#10;Descripción generada automáticamente"/>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4572000" cy="2752725"/>
                    </a:xfrm>
                    <a:prstGeom prst="rect">
                      <a:avLst/>
                    </a:prstGeom>
                  </pic:spPr>
                </pic:pic>
              </a:graphicData>
            </a:graphic>
          </wp:inline>
        </w:drawing>
      </w:r>
    </w:p>
    <w:p w14:paraId="272C978D" w14:textId="77777777" w:rsidR="0093626A" w:rsidRPr="00634580" w:rsidRDefault="00000000" w:rsidP="005915A7">
      <w:pPr>
        <w:spacing w:after="0" w:line="360" w:lineRule="auto"/>
        <w:jc w:val="both"/>
        <w:rPr>
          <w:rFonts w:ascii="Arial" w:hAnsi="Arial" w:cs="Arial"/>
          <w:sz w:val="24"/>
          <w:szCs w:val="24"/>
        </w:rPr>
      </w:pPr>
      <w:r>
        <w:rPr>
          <w:rFonts w:ascii="Arial" w:hAnsi="Arial" w:cs="Arial"/>
          <w:sz w:val="24"/>
          <w:szCs w:val="24"/>
        </w:rPr>
        <w:t>Fuente: Elaboración propia</w:t>
      </w:r>
    </w:p>
    <w:p w14:paraId="55529613" w14:textId="77777777" w:rsidR="0093626A" w:rsidRDefault="00000000" w:rsidP="005915A7">
      <w:pPr>
        <w:spacing w:after="0" w:line="360" w:lineRule="auto"/>
        <w:jc w:val="both"/>
        <w:rPr>
          <w:rFonts w:ascii="Arial" w:hAnsi="Arial" w:cs="Arial"/>
          <w:b/>
          <w:bCs/>
          <w:sz w:val="24"/>
          <w:szCs w:val="24"/>
        </w:rPr>
      </w:pPr>
      <w:r>
        <w:rPr>
          <w:rFonts w:ascii="Arial" w:hAnsi="Arial" w:cs="Arial"/>
          <w:b/>
          <w:bCs/>
          <w:sz w:val="24"/>
          <w:szCs w:val="24"/>
        </w:rPr>
        <w:lastRenderedPageBreak/>
        <w:t>Discusión</w:t>
      </w:r>
    </w:p>
    <w:p w14:paraId="5C543323" w14:textId="77777777" w:rsidR="0093626A" w:rsidRDefault="00000000" w:rsidP="005915A7">
      <w:pPr>
        <w:spacing w:after="0" w:line="360" w:lineRule="auto"/>
        <w:jc w:val="both"/>
        <w:rPr>
          <w:rFonts w:ascii="Arial" w:hAnsi="Arial" w:cs="Arial"/>
          <w:sz w:val="24"/>
          <w:szCs w:val="24"/>
        </w:rPr>
      </w:pPr>
      <w:r>
        <w:rPr>
          <w:rFonts w:ascii="Arial" w:hAnsi="Arial" w:cs="Arial"/>
          <w:sz w:val="24"/>
          <w:szCs w:val="24"/>
        </w:rPr>
        <w:t>El aprendizaje es un proceso activo, organizado y de socialización que favorece la apropiación de conocimientos, habilidades, destrezas y valores, e implica un conocimiento profundo que requiere de estrategias cognitivas y metacognitivas para superar dificultades en el marco del aprendizaje. De manera que el alumno que conoce las estrategias de aprendizaje y las aplica tiene mayor posibilidad de cumplir su meta y obtener un rendimiento escolar alto. Lamentablemente persiste la poca práctica en su conocimiento, implementación, así como una mala autopercepción y malos hábitos de estudio (Contreras, 2021) que repercuten en su desempeño académico. Para incrementarlo, el estudiante debe retroalimentar sus procesos internos, su iniciativa para adquirir habilidades académicas con un alto nivel de autoeficacia (Pool, 2013), ayudándose del estudio apoyado con pares y retroalimentado por su docente, en este contexto es cardinal que el estudiante optimice sus tiempos en aula para exponer sus perspectivas, puntos de vista y dudas a su docente para internalizar y reforzar lo aprendido.</w:t>
      </w:r>
    </w:p>
    <w:p w14:paraId="253AB68F" w14:textId="77777777" w:rsidR="0093626A" w:rsidRDefault="0093626A" w:rsidP="005915A7">
      <w:pPr>
        <w:spacing w:after="0" w:line="360" w:lineRule="auto"/>
        <w:ind w:firstLine="708"/>
        <w:jc w:val="both"/>
        <w:rPr>
          <w:rFonts w:ascii="Arial" w:hAnsi="Arial" w:cs="Arial"/>
          <w:sz w:val="24"/>
          <w:szCs w:val="24"/>
        </w:rPr>
      </w:pPr>
    </w:p>
    <w:p w14:paraId="587A548E" w14:textId="77777777" w:rsidR="0093626A" w:rsidRDefault="00000000" w:rsidP="005915A7">
      <w:pPr>
        <w:spacing w:after="0" w:line="360" w:lineRule="auto"/>
        <w:ind w:firstLine="708"/>
        <w:jc w:val="both"/>
        <w:rPr>
          <w:rFonts w:ascii="Arial" w:hAnsi="Arial" w:cs="Arial"/>
          <w:sz w:val="24"/>
          <w:szCs w:val="24"/>
        </w:rPr>
      </w:pPr>
      <w:r>
        <w:rPr>
          <w:rFonts w:ascii="Arial" w:hAnsi="Arial" w:cs="Arial"/>
          <w:sz w:val="24"/>
          <w:szCs w:val="24"/>
        </w:rPr>
        <w:t>La escala de apoyo permite identificar procesos metacognitivos que suceden durante el procesamiento de la información que optimizan o entorpecen las estrategias de aprendizaje.</w:t>
      </w:r>
    </w:p>
    <w:p w14:paraId="680AA5CC" w14:textId="77777777" w:rsidR="0093626A" w:rsidRDefault="0093626A" w:rsidP="005915A7">
      <w:pPr>
        <w:spacing w:after="0" w:line="360" w:lineRule="auto"/>
        <w:ind w:firstLine="708"/>
        <w:jc w:val="both"/>
        <w:rPr>
          <w:rFonts w:ascii="Arial" w:hAnsi="Arial" w:cs="Arial"/>
          <w:sz w:val="24"/>
          <w:szCs w:val="24"/>
        </w:rPr>
      </w:pPr>
    </w:p>
    <w:p w14:paraId="7B87779F" w14:textId="77777777" w:rsidR="0093626A" w:rsidRDefault="00000000" w:rsidP="005915A7">
      <w:pPr>
        <w:spacing w:after="0" w:line="360" w:lineRule="auto"/>
        <w:ind w:firstLine="708"/>
        <w:jc w:val="both"/>
        <w:rPr>
          <w:rFonts w:ascii="Arial" w:hAnsi="Arial" w:cs="Arial"/>
          <w:sz w:val="24"/>
          <w:szCs w:val="24"/>
        </w:rPr>
      </w:pPr>
      <w:r>
        <w:rPr>
          <w:rFonts w:ascii="Arial" w:hAnsi="Arial" w:cs="Arial"/>
          <w:sz w:val="24"/>
          <w:szCs w:val="24"/>
        </w:rPr>
        <w:t>A través de sus tácticas los estudiantes potencializan el rendimiento de la adquisición, codificación y recuperación, incrementando la motivación, autoestima, atención, y, garantizan el clima para un buen funcionamiento del sistema cognitivo. Las estrategias sociales se refieren al control sobre los procesos sociales para obtener ayuda, evitar conflictos, cooperar, competir o motivar a otros; la afectiva explica el control de los estados afectivos como ansiedad, expectativas, atención, que se pueden manifestar en la atención y desempeño académico. El alumno debe aprender a seleccionar las herramientas más adecuadas, en particular para alcanzar objetivos en situaciones concretas y aquellas para crear situaciones sociales adecuadas, lo que implica una retroalimentación interna constante y permanente en beneficio de su desempeño académico.</w:t>
      </w:r>
    </w:p>
    <w:p w14:paraId="1704F9E9" w14:textId="77777777" w:rsidR="0093626A" w:rsidRDefault="00000000" w:rsidP="005915A7">
      <w:pPr>
        <w:spacing w:after="0" w:line="360" w:lineRule="auto"/>
        <w:ind w:firstLine="708"/>
        <w:jc w:val="both"/>
        <w:rPr>
          <w:rFonts w:ascii="Arial" w:hAnsi="Arial" w:cs="Arial"/>
          <w:sz w:val="24"/>
          <w:szCs w:val="24"/>
        </w:rPr>
      </w:pPr>
      <w:r>
        <w:rPr>
          <w:rFonts w:ascii="Arial" w:hAnsi="Arial" w:cs="Arial"/>
          <w:sz w:val="24"/>
          <w:szCs w:val="24"/>
        </w:rPr>
        <w:lastRenderedPageBreak/>
        <w:t>De acuerdo con el paradigma constructivista, en el aprendizaje participan cuatro factores: maduración, transmisión social, actividad y equilibración, que están involucradas en el conocimiento de nueva información para integrarlo con lo que ya se conoce; en este contexto el factor social permite la interacción constante entre pares, en el que se aprenden hábitos, tradiciones y todo lo concerniente a la sociedad Leliwa, Scangarello y Ferreyra (2016). El apoyo socio afectivo permite que el estudiante se sienta con la confianza de estudiar entre sus compañeros, realizar discusiones reflexivas, y, que en su nivel de maduración clarifiquen contenido que no se haya comprendido del todo. Y desde el contexto académico, el binomio alumno profesor trabajan en conjunto para lograr el desarrollo de las actitudes de investigación y razonamiento, guiado estratégica y metódicamente por el maestro, quien lo asesora para que se haga consciente de las capacidades con las que cuenta para promover su propio aprendizaje y se convierta en un aprendedor permanente (Hernández-Rojas, 2011).</w:t>
      </w:r>
    </w:p>
    <w:p w14:paraId="34F42FE5" w14:textId="77777777" w:rsidR="0093626A" w:rsidRDefault="0093626A" w:rsidP="005915A7">
      <w:pPr>
        <w:spacing w:after="0" w:line="360" w:lineRule="auto"/>
        <w:ind w:firstLine="708"/>
        <w:jc w:val="both"/>
        <w:rPr>
          <w:rFonts w:ascii="Arial" w:hAnsi="Arial" w:cs="Arial"/>
          <w:sz w:val="24"/>
          <w:szCs w:val="24"/>
        </w:rPr>
      </w:pPr>
    </w:p>
    <w:p w14:paraId="16DE2C46" w14:textId="77777777" w:rsidR="0093626A" w:rsidRDefault="00000000" w:rsidP="005915A7">
      <w:pPr>
        <w:spacing w:after="0" w:line="360" w:lineRule="auto"/>
        <w:ind w:firstLine="708"/>
        <w:jc w:val="both"/>
        <w:rPr>
          <w:rFonts w:ascii="Arial" w:hAnsi="Arial" w:cs="Arial"/>
          <w:sz w:val="24"/>
          <w:szCs w:val="24"/>
        </w:rPr>
      </w:pPr>
      <w:r>
        <w:rPr>
          <w:rFonts w:ascii="Arial" w:hAnsi="Arial" w:cs="Arial"/>
          <w:sz w:val="24"/>
          <w:szCs w:val="24"/>
        </w:rPr>
        <w:t xml:space="preserve"> Las estrategias son parte integral y aseguran el clima positivo para el aprendizaje, ya que mejoran la autosuficiencia y precisan el valor del aprendizaje, permiten activar el proceso de aprender a aprender y potencian el aprendizaje significativo, la resolución de problemas y son el antecedente de aprendizaje autorregulado. Están permeadas por la intencionalidad del aprendiz y la experiencia, y para que la estrategia no se convierta en un evento fortuito, el aprendiz debe de contar con una planeación metódica. Cuando el alumno adquiere la información, la procesa y transforma en conocimiento, y amplía su propia estructura cognoscitiva (Salazar, 2019).</w:t>
      </w:r>
    </w:p>
    <w:p w14:paraId="6455493A" w14:textId="77777777" w:rsidR="0093626A" w:rsidRDefault="0093626A" w:rsidP="005915A7">
      <w:pPr>
        <w:spacing w:after="0" w:line="360" w:lineRule="auto"/>
        <w:ind w:firstLine="708"/>
        <w:jc w:val="both"/>
        <w:rPr>
          <w:rFonts w:ascii="Arial" w:hAnsi="Arial" w:cs="Arial"/>
          <w:sz w:val="24"/>
          <w:szCs w:val="24"/>
        </w:rPr>
      </w:pPr>
    </w:p>
    <w:p w14:paraId="36E72112" w14:textId="77777777" w:rsidR="0093626A" w:rsidRDefault="00000000" w:rsidP="005915A7">
      <w:pPr>
        <w:spacing w:after="0" w:line="360" w:lineRule="auto"/>
        <w:ind w:firstLine="708"/>
        <w:jc w:val="both"/>
        <w:rPr>
          <w:rFonts w:ascii="Arial" w:hAnsi="Arial" w:cs="Arial"/>
          <w:sz w:val="24"/>
          <w:szCs w:val="24"/>
        </w:rPr>
      </w:pPr>
      <w:r>
        <w:rPr>
          <w:rFonts w:ascii="Arial" w:hAnsi="Arial" w:cs="Arial"/>
          <w:sz w:val="24"/>
          <w:szCs w:val="24"/>
        </w:rPr>
        <w:t xml:space="preserve">Román y Gallego (2001) indican que los componentes socioafectivos se dirigen a controlar, canalizar y reducir la ansiedad, el sentimiento de incompetencia, expectativas de fracaso, autoeficacia al que los alumnos están expuestos. Las tácticas para controlar los estados psicológicos van desde la autorrelajación, autocontrol, autoinstrucciones y motivación, ya que evitan el entorpecimiento del proceso de aprendizaje, además que permiten el control de estímulos distractores </w:t>
      </w:r>
      <w:r>
        <w:rPr>
          <w:rFonts w:ascii="Arial" w:hAnsi="Arial" w:cs="Arial"/>
          <w:sz w:val="24"/>
          <w:szCs w:val="24"/>
        </w:rPr>
        <w:lastRenderedPageBreak/>
        <w:t xml:space="preserve">mientras el alumno implemente estrategias de adquisición, codificación y recuperación. Las tácticas que la estrategia afectiva propone son la autoinstrucción, autocontrol, conducta contradistractoria como la habilidad para controlar la ansiedad, expectativas y distractores; las tácticas de la estrategia social se refieren a todas las habilidades para obtener apoyo, evitar conflictos, cooperar, competir y motivar a otros, y las tácticas de las estrategias motivacionales son la motivación intrínseca, extrínseca y de escape que se refiere a la habilidad para activar, regular y mantener la conducta de estudio. </w:t>
      </w:r>
    </w:p>
    <w:p w14:paraId="5BEC71B3" w14:textId="77777777" w:rsidR="0093626A" w:rsidRDefault="0093626A" w:rsidP="005915A7">
      <w:pPr>
        <w:spacing w:after="0" w:line="360" w:lineRule="auto"/>
        <w:ind w:firstLine="708"/>
        <w:jc w:val="both"/>
        <w:rPr>
          <w:rFonts w:ascii="Arial" w:hAnsi="Arial" w:cs="Arial"/>
          <w:sz w:val="24"/>
          <w:szCs w:val="24"/>
        </w:rPr>
      </w:pPr>
    </w:p>
    <w:p w14:paraId="18D2C8C8" w14:textId="77777777" w:rsidR="0093626A" w:rsidRDefault="00000000" w:rsidP="005915A7">
      <w:pPr>
        <w:spacing w:after="0" w:line="360" w:lineRule="auto"/>
        <w:ind w:firstLine="708"/>
        <w:jc w:val="both"/>
        <w:rPr>
          <w:rFonts w:ascii="Arial" w:hAnsi="Arial" w:cs="Arial"/>
          <w:sz w:val="24"/>
          <w:szCs w:val="24"/>
        </w:rPr>
      </w:pPr>
      <w:r>
        <w:rPr>
          <w:rFonts w:ascii="Arial" w:hAnsi="Arial" w:cs="Arial"/>
          <w:sz w:val="24"/>
          <w:szCs w:val="24"/>
        </w:rPr>
        <w:t>La dimensión II de las estrategias de apoyo al aprendizaje consiste en la mejora de la eficacia del aprendizaje optimizando las condiciones en las que se produce. Incluye principalmente establecer y mantener la motivación, enfocar la atención, mantener la concentración, manejar la ansiedad y el tiempo de manera eficiente (Rodríguez-Pérez, Madrigal-Arroyo, 2016). Se analizaron los cinco ítems de la dimensión II para determinar cuál de ellos tenía él mayor significado estadístico, en el modelo de regresión por pasos hacia atrás se encontró que valor-P más alto fue de 0.0033 que correspondía a co9: acudo a los amigos, profesores o familiares cuando tengo dudas o puntos oscuros en los temas de estudio o para intercambiar información.</w:t>
      </w:r>
    </w:p>
    <w:p w14:paraId="696D5195" w14:textId="77777777" w:rsidR="0093626A" w:rsidRDefault="0093626A" w:rsidP="005915A7">
      <w:pPr>
        <w:spacing w:after="0" w:line="360" w:lineRule="auto"/>
        <w:ind w:firstLine="708"/>
        <w:jc w:val="both"/>
        <w:rPr>
          <w:rFonts w:ascii="Arial" w:hAnsi="Arial" w:cs="Arial"/>
          <w:sz w:val="24"/>
          <w:szCs w:val="24"/>
        </w:rPr>
      </w:pPr>
    </w:p>
    <w:p w14:paraId="21DFB26C" w14:textId="77777777" w:rsidR="0093626A" w:rsidRDefault="00000000" w:rsidP="005915A7">
      <w:pPr>
        <w:spacing w:after="0" w:line="360" w:lineRule="auto"/>
        <w:ind w:firstLine="708"/>
        <w:jc w:val="both"/>
        <w:rPr>
          <w:rFonts w:ascii="Arial" w:hAnsi="Arial" w:cs="Arial"/>
          <w:sz w:val="24"/>
          <w:szCs w:val="24"/>
        </w:rPr>
      </w:pPr>
      <w:r>
        <w:rPr>
          <w:rFonts w:ascii="Arial" w:hAnsi="Arial" w:cs="Arial"/>
          <w:sz w:val="24"/>
          <w:szCs w:val="24"/>
        </w:rPr>
        <w:t xml:space="preserve">Si bien las tácticas para ejercer la dimensión II de apoyo tienen un fundamento en la psicología educativa, cabría analizar que el contenido que los alumnos buscan resolver ante las dudas con sus compañeros o familiares sea veraz, y ciertamente al indagar con sus profesores retroalimentar y ejercer sus estrategias cognitivas y metacognitivas para corroborar que la información haya sido realmente clarificada. Es fundamental que los estudiantes acudan a fuentes primarias acordes a su nivel académico. </w:t>
      </w:r>
    </w:p>
    <w:p w14:paraId="1DCCA54A" w14:textId="77777777" w:rsidR="0093626A" w:rsidRDefault="0093626A" w:rsidP="005915A7">
      <w:pPr>
        <w:spacing w:after="0" w:line="360" w:lineRule="auto"/>
        <w:ind w:firstLine="708"/>
        <w:jc w:val="both"/>
        <w:rPr>
          <w:rFonts w:ascii="Arial" w:hAnsi="Arial" w:cs="Arial"/>
          <w:sz w:val="24"/>
          <w:szCs w:val="24"/>
        </w:rPr>
      </w:pPr>
    </w:p>
    <w:p w14:paraId="4EEDC95F" w14:textId="77777777" w:rsidR="0093626A" w:rsidRDefault="00000000" w:rsidP="005915A7">
      <w:pPr>
        <w:spacing w:after="0" w:line="360" w:lineRule="auto"/>
        <w:ind w:firstLine="708"/>
        <w:jc w:val="both"/>
        <w:rPr>
          <w:rFonts w:ascii="Arial" w:hAnsi="Arial" w:cs="Arial"/>
          <w:sz w:val="24"/>
          <w:szCs w:val="24"/>
        </w:rPr>
      </w:pPr>
      <w:r>
        <w:rPr>
          <w:rFonts w:ascii="Arial" w:hAnsi="Arial" w:cs="Arial"/>
          <w:sz w:val="24"/>
          <w:szCs w:val="24"/>
        </w:rPr>
        <w:t xml:space="preserve">Díaz-Guecha, Carrillo-Guecha, Guecha-Oliveros (2020) indican que la Asociación Internacional de Universidades en 2012 define a la internacionalización como un proceso que cambia de acuerdo con el contexto social actual, influido por </w:t>
      </w:r>
      <w:r>
        <w:rPr>
          <w:rFonts w:ascii="Arial" w:hAnsi="Arial" w:cs="Arial"/>
          <w:sz w:val="24"/>
          <w:szCs w:val="24"/>
        </w:rPr>
        <w:lastRenderedPageBreak/>
        <w:t>la globalización, y es caracterizado por la interdependencia entre nacionales y mayor uso de tecnologías y la información y la comunicación, y desde esta perspectiva los estudiantes pueden apoyarse en la dimensión II con el uso de herramientas tecnológicas, inclusive para retroalimentarse entre sí. Incluso se ratifica el enfoque del paradigma constructivista, que refuerza esta dimensión en las estrategias de aprendizaje, particularmente las de apoyo, que pueden optimizar métodos de investigación (Díaz-Guecha, Carrillo-Guecha, Guecha-Oliveros, 2020). Inclusive, el capital humano genera productividad y competitividad en forma sostenible, valores agregados que les permiten a las naciones y regiones hacer presencia en la economía global, por su capacidad de agregar valor intelectual y desarrollo tecnológico.</w:t>
      </w:r>
    </w:p>
    <w:p w14:paraId="135311EA" w14:textId="77777777" w:rsidR="0093626A" w:rsidRDefault="0093626A" w:rsidP="005915A7">
      <w:pPr>
        <w:spacing w:after="0" w:line="360" w:lineRule="auto"/>
        <w:ind w:firstLine="708"/>
        <w:jc w:val="both"/>
        <w:rPr>
          <w:rFonts w:ascii="Arial" w:hAnsi="Arial" w:cs="Arial"/>
          <w:sz w:val="24"/>
          <w:szCs w:val="24"/>
        </w:rPr>
      </w:pPr>
    </w:p>
    <w:p w14:paraId="74E2EDA9" w14:textId="77777777" w:rsidR="0093626A" w:rsidRDefault="00000000" w:rsidP="005915A7">
      <w:pPr>
        <w:spacing w:after="0" w:line="360" w:lineRule="auto"/>
        <w:jc w:val="both"/>
        <w:rPr>
          <w:rFonts w:ascii="Arial" w:hAnsi="Arial" w:cs="Arial"/>
          <w:b/>
          <w:bCs/>
          <w:sz w:val="24"/>
          <w:szCs w:val="24"/>
        </w:rPr>
      </w:pPr>
      <w:r>
        <w:rPr>
          <w:rFonts w:ascii="Arial" w:hAnsi="Arial" w:cs="Arial"/>
          <w:b/>
          <w:bCs/>
          <w:sz w:val="24"/>
          <w:szCs w:val="24"/>
        </w:rPr>
        <w:t>Conclusión</w:t>
      </w:r>
    </w:p>
    <w:p w14:paraId="40C45A51" w14:textId="77777777" w:rsidR="0093626A" w:rsidRDefault="00000000" w:rsidP="005915A7">
      <w:pPr>
        <w:spacing w:after="0" w:line="360" w:lineRule="auto"/>
        <w:jc w:val="both"/>
        <w:rPr>
          <w:rFonts w:ascii="Arial" w:hAnsi="Arial" w:cs="Arial"/>
          <w:sz w:val="24"/>
          <w:szCs w:val="24"/>
        </w:rPr>
      </w:pPr>
      <w:r>
        <w:rPr>
          <w:rFonts w:ascii="Arial" w:hAnsi="Arial" w:cs="Arial"/>
          <w:sz w:val="24"/>
          <w:szCs w:val="24"/>
        </w:rPr>
        <w:t>La globalización representa un punto base para las instituciones de nivel superior debido a que permite un cambio sociocultural y tecnológico que fomentan el trabajo colaborativo e interdisciplinario. En el caso de los estudiantes de las ciencias básicas, la perspectiva sociocultural de la globalización representa un apoyo en las estrategias de aprendizaje debido a la comunicación asertiva entre pares y con docentes para resolver dudas sobre un tema determinado, asegurando la comprobación del texto. La estrategia más usada de la dimensión II de apoyo al aprendizaje fue la de apoyo social, y la técnica más empleada fue acudir a pares, profesores o familiares al tener dudas en los temas de estudio, o solo para intercambiar información. Esto permite al estudiante detectar errores en su planeación, emular planes que le sean útiles, o bien, esclarecer o nutrir la información con la que cuenta, por lo que representa un soporte en su estudio diario.</w:t>
      </w:r>
    </w:p>
    <w:p w14:paraId="47C99AE2" w14:textId="77777777" w:rsidR="0093626A" w:rsidRDefault="0093626A" w:rsidP="005915A7">
      <w:pPr>
        <w:spacing w:after="0" w:line="360" w:lineRule="auto"/>
        <w:jc w:val="both"/>
        <w:rPr>
          <w:rFonts w:ascii="Arial" w:hAnsi="Arial" w:cs="Arial"/>
          <w:sz w:val="24"/>
          <w:szCs w:val="24"/>
        </w:rPr>
      </w:pPr>
    </w:p>
    <w:p w14:paraId="1C47B88E" w14:textId="77777777" w:rsidR="0093626A" w:rsidRPr="00634580" w:rsidRDefault="00000000" w:rsidP="005915A7">
      <w:pPr>
        <w:spacing w:after="0" w:line="360" w:lineRule="auto"/>
        <w:jc w:val="both"/>
        <w:rPr>
          <w:rFonts w:ascii="Arial" w:hAnsi="Arial" w:cs="Arial"/>
          <w:b/>
          <w:bCs/>
          <w:sz w:val="24"/>
          <w:szCs w:val="24"/>
        </w:rPr>
      </w:pPr>
      <w:r w:rsidRPr="00634580">
        <w:rPr>
          <w:rFonts w:ascii="Arial" w:hAnsi="Arial" w:cs="Arial"/>
          <w:b/>
          <w:bCs/>
          <w:sz w:val="24"/>
          <w:szCs w:val="24"/>
        </w:rPr>
        <w:t>Referencias</w:t>
      </w:r>
    </w:p>
    <w:p w14:paraId="067FDB02" w14:textId="77777777" w:rsidR="0093626A" w:rsidRPr="00634580" w:rsidRDefault="00000000" w:rsidP="005915A7">
      <w:pPr>
        <w:spacing w:after="0" w:line="360" w:lineRule="auto"/>
        <w:ind w:left="720" w:hanging="720"/>
        <w:jc w:val="both"/>
        <w:rPr>
          <w:rFonts w:ascii="Arial" w:hAnsi="Arial" w:cs="Arial"/>
          <w:sz w:val="24"/>
          <w:szCs w:val="24"/>
        </w:rPr>
      </w:pPr>
      <w:r w:rsidRPr="00634580">
        <w:rPr>
          <w:rFonts w:ascii="Arial" w:hAnsi="Arial" w:cs="Arial"/>
          <w:sz w:val="24"/>
          <w:szCs w:val="24"/>
        </w:rPr>
        <w:t>Castejón, J., Valero, J., Gomis, N. (2013). Psicología de la educación. San Vicente (Alicante).</w:t>
      </w:r>
    </w:p>
    <w:p w14:paraId="720190C6" w14:textId="77777777" w:rsidR="0093626A" w:rsidRPr="00634580" w:rsidRDefault="00000000" w:rsidP="005915A7">
      <w:pPr>
        <w:spacing w:line="360" w:lineRule="auto"/>
        <w:ind w:left="720" w:hanging="720"/>
        <w:jc w:val="both"/>
        <w:rPr>
          <w:rFonts w:ascii="Arial" w:eastAsia="Arial Nova" w:hAnsi="Arial" w:cs="Arial"/>
          <w:sz w:val="24"/>
          <w:szCs w:val="24"/>
        </w:rPr>
      </w:pPr>
      <w:r w:rsidRPr="00634580">
        <w:rPr>
          <w:rFonts w:ascii="Arial" w:eastAsia="Arial Nova" w:hAnsi="Arial" w:cs="Arial"/>
          <w:color w:val="222222"/>
          <w:sz w:val="24"/>
          <w:szCs w:val="24"/>
        </w:rPr>
        <w:lastRenderedPageBreak/>
        <w:t xml:space="preserve">Collazo, C. A. R., Rodríguez, F. O., &amp; Rodríguez, Y. H. (2008). El estrés académico en estudiantes latinoamericanos de la carrera de Medicina. </w:t>
      </w:r>
      <w:r w:rsidRPr="00634580">
        <w:rPr>
          <w:rFonts w:ascii="Arial" w:eastAsia="Arial Nova" w:hAnsi="Arial" w:cs="Arial"/>
          <w:i/>
          <w:iCs/>
          <w:sz w:val="24"/>
          <w:szCs w:val="24"/>
        </w:rPr>
        <w:t>Rev. Psiquiatr Clín</w:t>
      </w:r>
      <w:r w:rsidRPr="00634580">
        <w:rPr>
          <w:rFonts w:ascii="Arial" w:eastAsia="Arial Nova" w:hAnsi="Arial" w:cs="Arial"/>
          <w:sz w:val="24"/>
          <w:szCs w:val="24"/>
        </w:rPr>
        <w:t xml:space="preserve">, </w:t>
      </w:r>
      <w:r w:rsidRPr="00634580">
        <w:rPr>
          <w:rFonts w:ascii="Arial" w:eastAsia="Arial Nova" w:hAnsi="Arial" w:cs="Arial"/>
          <w:i/>
          <w:iCs/>
          <w:sz w:val="24"/>
          <w:szCs w:val="24"/>
        </w:rPr>
        <w:t>25</w:t>
      </w:r>
      <w:r w:rsidRPr="00634580">
        <w:rPr>
          <w:rFonts w:ascii="Arial" w:eastAsia="Arial Nova" w:hAnsi="Arial" w:cs="Arial"/>
          <w:sz w:val="24"/>
          <w:szCs w:val="24"/>
        </w:rPr>
        <w:t>, 23-29.</w:t>
      </w:r>
    </w:p>
    <w:p w14:paraId="411BECD9" w14:textId="77777777" w:rsidR="0093626A" w:rsidRPr="00634580" w:rsidRDefault="00000000" w:rsidP="005915A7">
      <w:pPr>
        <w:spacing w:after="0" w:line="360" w:lineRule="auto"/>
        <w:ind w:left="720" w:hanging="720"/>
        <w:jc w:val="both"/>
        <w:rPr>
          <w:rFonts w:ascii="Arial" w:hAnsi="Arial" w:cs="Arial"/>
          <w:sz w:val="24"/>
          <w:szCs w:val="24"/>
        </w:rPr>
      </w:pPr>
      <w:r w:rsidRPr="00634580">
        <w:rPr>
          <w:rFonts w:ascii="Arial" w:hAnsi="Arial" w:cs="Arial"/>
          <w:sz w:val="24"/>
          <w:szCs w:val="24"/>
        </w:rPr>
        <w:t>Contreras, M., (2021) Estrategias de aprendizaje y rendimiento académico de los estudiantes de primer ingreso de la Universidad. Revista Científica Internacional; 4(1): 9-16</w:t>
      </w:r>
    </w:p>
    <w:p w14:paraId="675A107B" w14:textId="77777777" w:rsidR="0093626A" w:rsidRPr="00634580" w:rsidRDefault="00000000" w:rsidP="005915A7">
      <w:pPr>
        <w:spacing w:after="0" w:line="360" w:lineRule="auto"/>
        <w:ind w:left="720" w:hanging="720"/>
        <w:jc w:val="both"/>
        <w:rPr>
          <w:rFonts w:ascii="Arial" w:hAnsi="Arial" w:cs="Arial"/>
          <w:sz w:val="24"/>
          <w:szCs w:val="24"/>
        </w:rPr>
      </w:pPr>
      <w:r w:rsidRPr="00634580">
        <w:rPr>
          <w:rFonts w:ascii="Arial" w:hAnsi="Arial" w:cs="Arial"/>
          <w:sz w:val="24"/>
          <w:szCs w:val="24"/>
        </w:rPr>
        <w:t>Corredor, M., Pérez, M., Arbeláez, R. (2009). Estrategias de enseñanza y aprendizaje. Colombia: Universidad Industrial de Santander</w:t>
      </w:r>
    </w:p>
    <w:p w14:paraId="05371BC0" w14:textId="77777777" w:rsidR="0093626A" w:rsidRPr="00634580" w:rsidRDefault="00000000" w:rsidP="005915A7">
      <w:pPr>
        <w:spacing w:line="360" w:lineRule="auto"/>
        <w:ind w:left="720" w:hanging="720"/>
        <w:jc w:val="both"/>
        <w:rPr>
          <w:rFonts w:ascii="Arial" w:eastAsia="Arial Nova" w:hAnsi="Arial" w:cs="Arial"/>
          <w:color w:val="222222"/>
          <w:sz w:val="24"/>
          <w:szCs w:val="24"/>
        </w:rPr>
      </w:pPr>
      <w:r w:rsidRPr="00634580">
        <w:rPr>
          <w:rFonts w:ascii="Arial" w:eastAsia="Arial Nova" w:hAnsi="Arial" w:cs="Arial"/>
          <w:color w:val="222222"/>
          <w:sz w:val="24"/>
          <w:szCs w:val="24"/>
        </w:rPr>
        <w:t>Del cambio, I. F. Rediseño del marco curricular común de la educación media superior 2019-2022.</w:t>
      </w:r>
    </w:p>
    <w:p w14:paraId="2E3038CB" w14:textId="77777777" w:rsidR="0093626A" w:rsidRPr="00634580" w:rsidRDefault="00000000" w:rsidP="005915A7">
      <w:pPr>
        <w:spacing w:after="0" w:line="360" w:lineRule="auto"/>
        <w:ind w:left="720" w:hanging="720"/>
        <w:jc w:val="both"/>
        <w:rPr>
          <w:rFonts w:ascii="Arial" w:hAnsi="Arial" w:cs="Arial"/>
          <w:sz w:val="24"/>
          <w:szCs w:val="24"/>
          <w:lang w:val="en-US"/>
        </w:rPr>
      </w:pPr>
      <w:r w:rsidRPr="00634580">
        <w:rPr>
          <w:rFonts w:ascii="Arial" w:hAnsi="Arial" w:cs="Arial"/>
          <w:sz w:val="24"/>
          <w:szCs w:val="24"/>
        </w:rPr>
        <w:t xml:space="preserve">De La Fuente Arias, J., Justicia, F. (2017). Escala de estrategias de aprendizaje ACRA-Abreviada para alumnos universitarios. </w:t>
      </w:r>
      <w:r w:rsidRPr="00634580">
        <w:rPr>
          <w:rFonts w:ascii="Arial" w:hAnsi="Arial" w:cs="Arial"/>
          <w:sz w:val="24"/>
          <w:szCs w:val="24"/>
          <w:lang w:val="en-US"/>
        </w:rPr>
        <w:t>Electronic Journal of Research in Education Psychology, 1(2).</w:t>
      </w:r>
    </w:p>
    <w:p w14:paraId="0AFF8563" w14:textId="77777777" w:rsidR="0093626A" w:rsidRPr="00634580" w:rsidRDefault="00000000" w:rsidP="005915A7">
      <w:pPr>
        <w:spacing w:after="0" w:line="360" w:lineRule="auto"/>
        <w:ind w:left="720" w:hanging="720"/>
        <w:jc w:val="both"/>
        <w:rPr>
          <w:rFonts w:ascii="Arial" w:hAnsi="Arial" w:cs="Arial"/>
          <w:sz w:val="24"/>
          <w:szCs w:val="24"/>
        </w:rPr>
      </w:pPr>
      <w:r w:rsidRPr="000A5C43">
        <w:rPr>
          <w:rFonts w:ascii="Arial" w:hAnsi="Arial" w:cs="Arial"/>
          <w:sz w:val="24"/>
          <w:szCs w:val="24"/>
          <w:lang w:val="en-US"/>
          <w:rPrChange w:id="6" w:author="NANCY NOHEMI HERRERA BALDERAS" w:date="2026-01-21T08:23:00Z" w16du:dateUtc="2026-01-21T14:23:00Z">
            <w:rPr>
              <w:rFonts w:ascii="Arial" w:hAnsi="Arial" w:cs="Arial"/>
              <w:sz w:val="24"/>
              <w:szCs w:val="24"/>
            </w:rPr>
          </w:rPrChange>
        </w:rPr>
        <w:t xml:space="preserve">Díaz-Guecha, L.Y., Carrillo-Guecha, K.L., Guecha-Oliveros, J.G. (2020). </w:t>
      </w:r>
      <w:r w:rsidRPr="00634580">
        <w:rPr>
          <w:rFonts w:ascii="Arial" w:hAnsi="Arial" w:cs="Arial"/>
          <w:sz w:val="24"/>
          <w:szCs w:val="24"/>
        </w:rPr>
        <w:t xml:space="preserve">Internacionalización de la educación superior en el marco de la construcción del conocimiento. Perspectivas; 5(2): 90-104. </w:t>
      </w:r>
      <w:hyperlink r:id="rId13">
        <w:r w:rsidRPr="00634580">
          <w:rPr>
            <w:rStyle w:val="Hipervnculo"/>
            <w:rFonts w:ascii="Arial" w:hAnsi="Arial" w:cs="Arial"/>
            <w:sz w:val="24"/>
            <w:szCs w:val="24"/>
          </w:rPr>
          <w:t>https://doi.org/10.22463/25909215.2834</w:t>
        </w:r>
      </w:hyperlink>
      <w:r w:rsidRPr="00634580">
        <w:rPr>
          <w:rFonts w:ascii="Arial" w:hAnsi="Arial" w:cs="Arial"/>
          <w:sz w:val="24"/>
          <w:szCs w:val="24"/>
        </w:rPr>
        <w:t xml:space="preserve"> </w:t>
      </w:r>
    </w:p>
    <w:p w14:paraId="07ACDEF1" w14:textId="77777777" w:rsidR="0093626A" w:rsidRPr="00634580" w:rsidRDefault="00000000" w:rsidP="005915A7">
      <w:pPr>
        <w:spacing w:after="0" w:line="360" w:lineRule="auto"/>
        <w:ind w:left="720" w:hanging="720"/>
        <w:jc w:val="both"/>
        <w:rPr>
          <w:rFonts w:ascii="Arial" w:hAnsi="Arial" w:cs="Arial"/>
          <w:sz w:val="24"/>
          <w:szCs w:val="24"/>
        </w:rPr>
      </w:pPr>
      <w:r w:rsidRPr="00634580">
        <w:rPr>
          <w:rFonts w:ascii="Arial" w:hAnsi="Arial" w:cs="Arial"/>
          <w:sz w:val="24"/>
          <w:szCs w:val="24"/>
        </w:rPr>
        <w:t>Hernández-Rojas, G., (2011). Paradigmas en psicología de la educación. Paidós Educador.</w:t>
      </w:r>
    </w:p>
    <w:p w14:paraId="0DF16AF7" w14:textId="77777777" w:rsidR="0093626A" w:rsidRPr="00634580" w:rsidRDefault="00000000" w:rsidP="005915A7">
      <w:pPr>
        <w:spacing w:line="360" w:lineRule="auto"/>
        <w:ind w:left="720" w:hanging="720"/>
        <w:jc w:val="both"/>
        <w:rPr>
          <w:rFonts w:ascii="Arial" w:eastAsia="Arial Nova" w:hAnsi="Arial" w:cs="Arial"/>
          <w:sz w:val="24"/>
          <w:szCs w:val="24"/>
        </w:rPr>
      </w:pPr>
      <w:r w:rsidRPr="00634580">
        <w:rPr>
          <w:rFonts w:ascii="Arial" w:eastAsia="Arial Nova" w:hAnsi="Arial" w:cs="Arial"/>
          <w:sz w:val="24"/>
          <w:szCs w:val="24"/>
        </w:rPr>
        <w:t>INEGI. (2020). Encuesta Nacional de Inserción Laboral de los Egresados de la Educación Media Superior (ENILEMS) 2019. México. INEGI.</w:t>
      </w:r>
    </w:p>
    <w:p w14:paraId="01A14E0A" w14:textId="77777777" w:rsidR="0093626A" w:rsidRPr="00634580" w:rsidRDefault="00000000" w:rsidP="005915A7">
      <w:pPr>
        <w:spacing w:after="0" w:line="360" w:lineRule="auto"/>
        <w:ind w:left="720" w:hanging="720"/>
        <w:jc w:val="both"/>
        <w:rPr>
          <w:rFonts w:ascii="Arial" w:hAnsi="Arial" w:cs="Arial"/>
          <w:sz w:val="24"/>
          <w:szCs w:val="24"/>
          <w:lang w:val="en-US"/>
        </w:rPr>
      </w:pPr>
      <w:r w:rsidRPr="00634580">
        <w:rPr>
          <w:rFonts w:ascii="Arial" w:hAnsi="Arial" w:cs="Arial"/>
          <w:sz w:val="24"/>
          <w:szCs w:val="24"/>
        </w:rPr>
        <w:t xml:space="preserve">Leliwa, S., Scangarello, J., Ferreyra, Y. (2016). Psicología y educación. </w:t>
      </w:r>
      <w:r w:rsidRPr="00634580">
        <w:rPr>
          <w:rFonts w:ascii="Arial" w:hAnsi="Arial" w:cs="Arial"/>
          <w:sz w:val="24"/>
          <w:szCs w:val="24"/>
          <w:lang w:val="en-US"/>
        </w:rPr>
        <w:t xml:space="preserve">Argentina: Editorial Brujas. </w:t>
      </w:r>
    </w:p>
    <w:p w14:paraId="243B93FA" w14:textId="77777777" w:rsidR="0093626A" w:rsidRPr="00634580" w:rsidRDefault="00000000" w:rsidP="005915A7">
      <w:pPr>
        <w:spacing w:after="0" w:line="360" w:lineRule="auto"/>
        <w:ind w:left="720" w:hanging="720"/>
        <w:jc w:val="both"/>
        <w:rPr>
          <w:rFonts w:ascii="Arial" w:hAnsi="Arial" w:cs="Arial"/>
          <w:sz w:val="24"/>
          <w:szCs w:val="24"/>
        </w:rPr>
      </w:pPr>
      <w:r w:rsidRPr="00634580">
        <w:rPr>
          <w:rFonts w:ascii="Arial" w:hAnsi="Arial" w:cs="Arial"/>
          <w:sz w:val="24"/>
          <w:szCs w:val="24"/>
          <w:lang w:val="en-US"/>
        </w:rPr>
        <w:t xml:space="preserve">Meza, A. (2013). Learning strategies. Definitions, classifications and measuring instruments. </w:t>
      </w:r>
      <w:r w:rsidRPr="00634580">
        <w:rPr>
          <w:rFonts w:ascii="Arial" w:hAnsi="Arial" w:cs="Arial"/>
          <w:sz w:val="24"/>
          <w:szCs w:val="24"/>
        </w:rPr>
        <w:t xml:space="preserve">Propósitos y Representaciones, 1(2), 193–213. </w:t>
      </w:r>
      <w:hyperlink r:id="rId14">
        <w:r w:rsidRPr="00634580">
          <w:rPr>
            <w:rStyle w:val="Hipervnculo"/>
            <w:rFonts w:ascii="Arial" w:hAnsi="Arial" w:cs="Arial"/>
            <w:sz w:val="24"/>
            <w:szCs w:val="24"/>
          </w:rPr>
          <w:t>https://doi.org/10.20511/pyr2013.v1n2.48</w:t>
        </w:r>
      </w:hyperlink>
    </w:p>
    <w:p w14:paraId="1CA89618" w14:textId="77777777" w:rsidR="0093626A" w:rsidRPr="00634580" w:rsidRDefault="00000000" w:rsidP="005915A7">
      <w:pPr>
        <w:spacing w:after="0" w:line="360" w:lineRule="auto"/>
        <w:ind w:left="720" w:hanging="720"/>
        <w:jc w:val="both"/>
        <w:rPr>
          <w:rFonts w:ascii="Arial" w:eastAsia="Arial Nova" w:hAnsi="Arial" w:cs="Arial"/>
          <w:sz w:val="24"/>
          <w:szCs w:val="24"/>
        </w:rPr>
      </w:pPr>
      <w:r w:rsidRPr="00634580">
        <w:rPr>
          <w:rFonts w:ascii="Arial" w:eastAsia="Arial Nova" w:hAnsi="Arial" w:cs="Arial"/>
          <w:sz w:val="24"/>
          <w:szCs w:val="24"/>
        </w:rPr>
        <w:t xml:space="preserve">México. Instituto Nacional de Estadística y Geografía. (2021). Encuesta nacional sobre acceso y permanencia en la educación (ENAPE). INEGI. </w:t>
      </w:r>
      <w:hyperlink r:id="rId15" w:history="1">
        <w:hyperlink r:id="rId16" w:history="1">
          <w:r w:rsidRPr="00634580">
            <w:rPr>
              <w:rFonts w:ascii="Arial" w:eastAsia="Calibri" w:hAnsi="Arial" w:cs="Arial"/>
              <w:sz w:val="24"/>
              <w:szCs w:val="24"/>
            </w:rPr>
            <w:t>https://www</w:t>
          </w:r>
        </w:hyperlink>
      </w:hyperlink>
      <w:r w:rsidRPr="00634580">
        <w:rPr>
          <w:rFonts w:ascii="Arial" w:eastAsia="Arial Nova" w:hAnsi="Arial" w:cs="Arial"/>
          <w:sz w:val="24"/>
          <w:szCs w:val="24"/>
        </w:rPr>
        <w:t>. inegi.org.mx/contenidos/saladeprensa/boletines/2022/ ENAPE/ENAPE2021.pdf</w:t>
      </w:r>
    </w:p>
    <w:p w14:paraId="0A92E582" w14:textId="77777777" w:rsidR="0093626A" w:rsidRPr="00634580" w:rsidRDefault="00000000" w:rsidP="005915A7">
      <w:pPr>
        <w:spacing w:line="360" w:lineRule="auto"/>
        <w:ind w:left="720" w:hanging="720"/>
        <w:jc w:val="both"/>
        <w:rPr>
          <w:rFonts w:ascii="Arial" w:eastAsia="Arial Nova" w:hAnsi="Arial" w:cs="Arial"/>
          <w:sz w:val="24"/>
          <w:szCs w:val="24"/>
        </w:rPr>
      </w:pPr>
      <w:r w:rsidRPr="00634580">
        <w:rPr>
          <w:rFonts w:ascii="Arial" w:eastAsia="Arial Nova" w:hAnsi="Arial" w:cs="Arial"/>
          <w:color w:val="222222"/>
          <w:sz w:val="24"/>
          <w:szCs w:val="24"/>
        </w:rPr>
        <w:lastRenderedPageBreak/>
        <w:t xml:space="preserve">Ortiz, S., Silvia, T., Farfán, A., Aurora, J. (2013). Rendimiento académico, estrés y estrategias de afrontamiento en alumnos del programa de alta exigencia académica de la carrera de medicina. </w:t>
      </w:r>
      <w:r w:rsidRPr="00634580">
        <w:rPr>
          <w:rFonts w:ascii="Arial" w:eastAsia="Arial Nova" w:hAnsi="Arial" w:cs="Arial"/>
          <w:i/>
          <w:iCs/>
          <w:sz w:val="24"/>
          <w:szCs w:val="24"/>
        </w:rPr>
        <w:t>Revista med</w:t>
      </w:r>
      <w:r w:rsidRPr="00634580">
        <w:rPr>
          <w:rFonts w:ascii="Arial" w:eastAsia="Arial Nova" w:hAnsi="Arial" w:cs="Arial"/>
          <w:sz w:val="24"/>
          <w:szCs w:val="24"/>
        </w:rPr>
        <w:t xml:space="preserve">, </w:t>
      </w:r>
      <w:r w:rsidRPr="00634580">
        <w:rPr>
          <w:rFonts w:ascii="Arial" w:eastAsia="Arial Nova" w:hAnsi="Arial" w:cs="Arial"/>
          <w:i/>
          <w:iCs/>
          <w:sz w:val="24"/>
          <w:szCs w:val="24"/>
        </w:rPr>
        <w:t>21</w:t>
      </w:r>
      <w:r w:rsidRPr="00634580">
        <w:rPr>
          <w:rFonts w:ascii="Arial" w:eastAsia="Arial Nova" w:hAnsi="Arial" w:cs="Arial"/>
          <w:sz w:val="24"/>
          <w:szCs w:val="24"/>
        </w:rPr>
        <w:t>(1), 29-37.</w:t>
      </w:r>
    </w:p>
    <w:p w14:paraId="407B72B2" w14:textId="77777777" w:rsidR="0093626A" w:rsidRPr="00634580" w:rsidRDefault="00000000" w:rsidP="005915A7">
      <w:pPr>
        <w:spacing w:after="0" w:line="360" w:lineRule="auto"/>
        <w:ind w:left="720" w:hanging="720"/>
        <w:jc w:val="both"/>
        <w:rPr>
          <w:rFonts w:ascii="Arial" w:hAnsi="Arial" w:cs="Arial"/>
          <w:sz w:val="24"/>
          <w:szCs w:val="24"/>
        </w:rPr>
      </w:pPr>
      <w:r w:rsidRPr="00634580">
        <w:rPr>
          <w:rFonts w:ascii="Arial" w:hAnsi="Arial" w:cs="Arial"/>
          <w:sz w:val="24"/>
          <w:szCs w:val="24"/>
        </w:rPr>
        <w:t>Pool-Cibrian, W. J. y Martínez-Guerrero J. I. (2013). Autoeficacia y uso de estrategias para el aprendizaje autorregulado en estudiantes universitarios. Revista Electrónica de Investigación Educativa, 15(3):21-37.</w:t>
      </w:r>
    </w:p>
    <w:p w14:paraId="5AEBFD47" w14:textId="77777777" w:rsidR="0093626A" w:rsidRPr="00634580" w:rsidRDefault="00000000" w:rsidP="005915A7">
      <w:pPr>
        <w:spacing w:after="0" w:line="360" w:lineRule="auto"/>
        <w:ind w:left="720" w:hanging="720"/>
        <w:jc w:val="both"/>
        <w:rPr>
          <w:rFonts w:ascii="Arial" w:hAnsi="Arial" w:cs="Arial"/>
          <w:sz w:val="24"/>
          <w:szCs w:val="24"/>
        </w:rPr>
      </w:pPr>
      <w:r w:rsidRPr="00634580">
        <w:rPr>
          <w:rFonts w:ascii="Arial" w:hAnsi="Arial" w:cs="Arial"/>
          <w:sz w:val="24"/>
          <w:szCs w:val="24"/>
        </w:rPr>
        <w:t xml:space="preserve">Rodríguez-Pérez, I., Madrigal-Arroyo, A., (2016). Rendimiento académico y estrategias de aprendizaje. Revista de docencia e investigación educativa, 2(6):26-34. </w:t>
      </w:r>
    </w:p>
    <w:p w14:paraId="2A607073" w14:textId="77777777" w:rsidR="0093626A" w:rsidRPr="00634580" w:rsidRDefault="00000000" w:rsidP="005915A7">
      <w:pPr>
        <w:spacing w:after="0" w:line="360" w:lineRule="auto"/>
        <w:ind w:left="720" w:hanging="720"/>
        <w:jc w:val="both"/>
        <w:rPr>
          <w:rFonts w:ascii="Arial" w:hAnsi="Arial" w:cs="Arial"/>
          <w:sz w:val="24"/>
          <w:szCs w:val="24"/>
          <w:lang w:val="en-US"/>
        </w:rPr>
      </w:pPr>
      <w:r w:rsidRPr="00634580">
        <w:rPr>
          <w:rFonts w:ascii="Arial" w:hAnsi="Arial" w:cs="Arial"/>
          <w:sz w:val="24"/>
          <w:szCs w:val="24"/>
        </w:rPr>
        <w:t xml:space="preserve">Román Sánchez, J. M., Gallego Rico, Sagrario. (2001). ACRA, escalas de estrategias de aprendizaje: manual. </w:t>
      </w:r>
      <w:r w:rsidRPr="00634580">
        <w:rPr>
          <w:rFonts w:ascii="Arial" w:hAnsi="Arial" w:cs="Arial"/>
          <w:sz w:val="24"/>
          <w:szCs w:val="24"/>
          <w:lang w:val="en-US"/>
        </w:rPr>
        <w:t>Tea.</w:t>
      </w:r>
    </w:p>
    <w:p w14:paraId="50C6B595" w14:textId="77777777" w:rsidR="0093626A" w:rsidRPr="00634580" w:rsidRDefault="00000000" w:rsidP="005915A7">
      <w:pPr>
        <w:spacing w:after="0" w:line="360" w:lineRule="auto"/>
        <w:ind w:left="720" w:hanging="720"/>
        <w:jc w:val="both"/>
        <w:rPr>
          <w:rFonts w:ascii="Arial" w:hAnsi="Arial" w:cs="Arial"/>
          <w:sz w:val="24"/>
          <w:szCs w:val="24"/>
        </w:rPr>
      </w:pPr>
      <w:r w:rsidRPr="00634580">
        <w:rPr>
          <w:rFonts w:ascii="Arial" w:hAnsi="Arial" w:cs="Arial"/>
          <w:sz w:val="24"/>
          <w:szCs w:val="24"/>
          <w:lang w:val="en-US"/>
        </w:rPr>
        <w:t xml:space="preserve">Salazar Malerva, I., Heredia Escorza, Y. (2019). Learning Strategies and academic achievement in medical students. </w:t>
      </w:r>
      <w:r w:rsidRPr="00634580">
        <w:rPr>
          <w:rFonts w:ascii="Arial" w:hAnsi="Arial" w:cs="Arial"/>
          <w:sz w:val="24"/>
          <w:szCs w:val="24"/>
        </w:rPr>
        <w:t xml:space="preserve">Educación Médica, 20(4), 256–262.  </w:t>
      </w:r>
    </w:p>
    <w:p w14:paraId="7230EBBE" w14:textId="77777777" w:rsidR="0093626A" w:rsidRPr="00634580" w:rsidRDefault="00000000" w:rsidP="005915A7">
      <w:pPr>
        <w:spacing w:after="0" w:line="360" w:lineRule="auto"/>
        <w:ind w:left="720" w:hanging="720"/>
        <w:jc w:val="both"/>
        <w:rPr>
          <w:rFonts w:ascii="Arial" w:eastAsia="Arial" w:hAnsi="Arial" w:cs="Arial"/>
          <w:sz w:val="24"/>
          <w:szCs w:val="24"/>
        </w:rPr>
      </w:pPr>
      <w:r w:rsidRPr="00634580">
        <w:rPr>
          <w:rFonts w:ascii="Arial" w:hAnsi="Arial" w:cs="Arial"/>
          <w:sz w:val="24"/>
          <w:szCs w:val="24"/>
        </w:rPr>
        <w:t xml:space="preserve">Torres-Acosta, N., Rodríguez-Gómez, J., Acosta-Vargas, M., (2013). Personalidad, </w:t>
      </w:r>
      <w:r w:rsidRPr="00634580">
        <w:rPr>
          <w:rFonts w:ascii="Arial" w:eastAsia="Arial" w:hAnsi="Arial" w:cs="Arial"/>
          <w:sz w:val="24"/>
          <w:szCs w:val="24"/>
        </w:rPr>
        <w:t>aprendizaje y rendimiento académico en medicina. Investigación en Educación Médica, 2(8);193-201.</w:t>
      </w:r>
    </w:p>
    <w:p w14:paraId="59D0D753" w14:textId="77777777" w:rsidR="0093626A" w:rsidRPr="00634580" w:rsidRDefault="00000000" w:rsidP="005915A7">
      <w:pPr>
        <w:spacing w:line="360" w:lineRule="auto"/>
        <w:ind w:left="720" w:hanging="720"/>
        <w:jc w:val="both"/>
        <w:rPr>
          <w:rFonts w:ascii="Arial" w:eastAsia="Arial" w:hAnsi="Arial" w:cs="Arial"/>
          <w:color w:val="222222"/>
          <w:sz w:val="24"/>
          <w:szCs w:val="24"/>
        </w:rPr>
      </w:pPr>
      <w:r w:rsidRPr="00634580">
        <w:rPr>
          <w:rFonts w:ascii="Arial" w:eastAsia="Arial" w:hAnsi="Arial" w:cs="Arial"/>
          <w:color w:val="222222"/>
          <w:sz w:val="24"/>
          <w:szCs w:val="24"/>
        </w:rPr>
        <w:t>UNESCO. (2020). Informe de Seguimiento de la Educación en el Mundo 2020: Inclusión y Educación, Todos y Todas sin Excepción.</w:t>
      </w:r>
    </w:p>
    <w:p w14:paraId="3BE17C5F" w14:textId="77777777" w:rsidR="0093626A" w:rsidRPr="00634580" w:rsidRDefault="00000000" w:rsidP="005915A7">
      <w:pPr>
        <w:spacing w:after="0" w:line="360" w:lineRule="auto"/>
        <w:ind w:left="720" w:hanging="720"/>
        <w:jc w:val="both"/>
        <w:rPr>
          <w:rFonts w:ascii="Arial" w:hAnsi="Arial" w:cs="Arial"/>
          <w:sz w:val="24"/>
          <w:szCs w:val="24"/>
          <w:lang w:val="en-US"/>
        </w:rPr>
      </w:pPr>
      <w:r w:rsidRPr="00634580">
        <w:rPr>
          <w:rFonts w:ascii="Arial" w:eastAsia="Arial" w:hAnsi="Arial" w:cs="Arial"/>
          <w:sz w:val="24"/>
          <w:szCs w:val="24"/>
          <w:lang w:val="en-US"/>
        </w:rPr>
        <w:t xml:space="preserve">UNESCO. (2023). </w:t>
      </w:r>
      <w:r w:rsidRPr="00634580">
        <w:rPr>
          <w:rFonts w:ascii="Arial" w:eastAsia="Arial" w:hAnsi="Arial" w:cs="Arial"/>
          <w:color w:val="000000" w:themeColor="text1"/>
          <w:sz w:val="24"/>
          <w:szCs w:val="24"/>
          <w:lang w:val="en-US"/>
        </w:rPr>
        <w:t>United Nations Educational, Scientific and Cultural Organization</w:t>
      </w:r>
      <w:r w:rsidRPr="00634580">
        <w:rPr>
          <w:rFonts w:ascii="Arial" w:eastAsia="Arial" w:hAnsi="Arial" w:cs="Arial"/>
          <w:sz w:val="24"/>
          <w:szCs w:val="24"/>
          <w:lang w:val="en-US"/>
        </w:rPr>
        <w:t xml:space="preserve">. Global Flow of Tertiary-Level Students. </w:t>
      </w:r>
      <w:hyperlink r:id="rId17" w:anchor="slideoutsearch" w:history="1">
        <w:r w:rsidRPr="00634580">
          <w:rPr>
            <w:rStyle w:val="Hipervnculo"/>
            <w:rFonts w:ascii="Arial" w:eastAsia="Calibri" w:hAnsi="Arial" w:cs="Arial"/>
            <w:sz w:val="24"/>
            <w:szCs w:val="24"/>
            <w:lang w:val="en-US"/>
          </w:rPr>
          <w:t>Global Flow of Tertiary-Level Students | UNESCO UIS</w:t>
        </w:r>
      </w:hyperlink>
    </w:p>
    <w:p w14:paraId="546D0D98" w14:textId="77777777" w:rsidR="0093626A" w:rsidRPr="00634580" w:rsidRDefault="0093626A" w:rsidP="005915A7">
      <w:pPr>
        <w:spacing w:after="0" w:line="360" w:lineRule="auto"/>
        <w:ind w:left="720" w:hanging="720"/>
        <w:jc w:val="both"/>
        <w:rPr>
          <w:rStyle w:val="Hipervnculo"/>
          <w:rFonts w:ascii="Arial" w:eastAsia="Arial" w:hAnsi="Arial" w:cs="Arial"/>
          <w:sz w:val="24"/>
          <w:szCs w:val="24"/>
          <w:lang w:val="en-US"/>
        </w:rPr>
      </w:pPr>
    </w:p>
    <w:p w14:paraId="76AF6C30" w14:textId="77777777" w:rsidR="0093626A" w:rsidRPr="00634580" w:rsidRDefault="0093626A" w:rsidP="00634580">
      <w:pPr>
        <w:spacing w:after="0" w:line="360" w:lineRule="auto"/>
        <w:jc w:val="center"/>
        <w:rPr>
          <w:rFonts w:ascii="Arial" w:eastAsia="Arial" w:hAnsi="Arial" w:cs="Arial"/>
          <w:b/>
          <w:bCs/>
          <w:color w:val="000000"/>
          <w:kern w:val="0"/>
          <w:sz w:val="24"/>
          <w:szCs w:val="24"/>
          <w:lang w:val="en-US"/>
          <w14:ligatures w14:val="none"/>
        </w:rPr>
      </w:pPr>
    </w:p>
    <w:p w14:paraId="42D663D3" w14:textId="77777777" w:rsidR="0093626A" w:rsidRPr="00634580" w:rsidRDefault="0093626A" w:rsidP="00634580">
      <w:pPr>
        <w:spacing w:after="0" w:line="360" w:lineRule="auto"/>
        <w:jc w:val="center"/>
        <w:rPr>
          <w:rFonts w:ascii="Arial" w:eastAsia="Arial" w:hAnsi="Arial" w:cs="Arial"/>
          <w:b/>
          <w:bCs/>
          <w:color w:val="000000"/>
          <w:kern w:val="0"/>
          <w:sz w:val="24"/>
          <w:szCs w:val="24"/>
          <w:lang w:val="en-US"/>
          <w14:ligatures w14:val="none"/>
        </w:rPr>
      </w:pPr>
    </w:p>
    <w:p w14:paraId="35C06F31" w14:textId="77777777" w:rsidR="0093626A" w:rsidRPr="00634580" w:rsidRDefault="0093626A" w:rsidP="00634580">
      <w:pPr>
        <w:spacing w:after="0" w:line="360" w:lineRule="auto"/>
        <w:jc w:val="center"/>
        <w:rPr>
          <w:rFonts w:ascii="Arial" w:eastAsia="Arial" w:hAnsi="Arial" w:cs="Arial"/>
          <w:b/>
          <w:bCs/>
          <w:color w:val="000000"/>
          <w:kern w:val="0"/>
          <w:sz w:val="24"/>
          <w:szCs w:val="24"/>
          <w:lang w:val="en-US"/>
          <w14:ligatures w14:val="none"/>
        </w:rPr>
      </w:pPr>
    </w:p>
    <w:p w14:paraId="327686F7" w14:textId="77777777" w:rsidR="0093626A" w:rsidRPr="00634580" w:rsidRDefault="0093626A" w:rsidP="00634580">
      <w:pPr>
        <w:spacing w:after="0" w:line="360" w:lineRule="auto"/>
        <w:jc w:val="center"/>
        <w:rPr>
          <w:rFonts w:ascii="Arial" w:eastAsia="Arial" w:hAnsi="Arial" w:cs="Arial"/>
          <w:b/>
          <w:bCs/>
          <w:color w:val="000000"/>
          <w:kern w:val="0"/>
          <w:sz w:val="24"/>
          <w:szCs w:val="24"/>
          <w:lang w:val="en-US"/>
          <w14:ligatures w14:val="none"/>
        </w:rPr>
      </w:pPr>
    </w:p>
    <w:p w14:paraId="0824753F" w14:textId="77777777" w:rsidR="0093626A" w:rsidRPr="00634580" w:rsidRDefault="0093626A" w:rsidP="00634580">
      <w:pPr>
        <w:spacing w:after="0" w:line="360" w:lineRule="auto"/>
        <w:jc w:val="center"/>
        <w:rPr>
          <w:rFonts w:ascii="Arial" w:eastAsia="Arial" w:hAnsi="Arial" w:cs="Arial"/>
          <w:b/>
          <w:bCs/>
          <w:color w:val="000000"/>
          <w:kern w:val="0"/>
          <w:sz w:val="24"/>
          <w:szCs w:val="24"/>
          <w:lang w:val="en-US"/>
          <w14:ligatures w14:val="none"/>
        </w:rPr>
      </w:pPr>
    </w:p>
    <w:p w14:paraId="79B2983F" w14:textId="77777777" w:rsidR="0093626A" w:rsidRPr="00634580" w:rsidRDefault="0093626A" w:rsidP="00634580">
      <w:pPr>
        <w:spacing w:after="0" w:line="360" w:lineRule="auto"/>
        <w:jc w:val="center"/>
        <w:rPr>
          <w:rFonts w:ascii="Arial" w:eastAsia="Arial" w:hAnsi="Arial" w:cs="Arial"/>
          <w:b/>
          <w:bCs/>
          <w:color w:val="000000"/>
          <w:kern w:val="0"/>
          <w:sz w:val="24"/>
          <w:szCs w:val="24"/>
          <w:lang w:val="en-US"/>
          <w14:ligatures w14:val="none"/>
        </w:rPr>
      </w:pPr>
    </w:p>
    <w:p w14:paraId="5387A917" w14:textId="77777777" w:rsidR="0093626A" w:rsidRPr="00634580" w:rsidRDefault="0093626A" w:rsidP="00634580">
      <w:pPr>
        <w:spacing w:after="0" w:line="360" w:lineRule="auto"/>
        <w:jc w:val="center"/>
        <w:rPr>
          <w:rFonts w:ascii="Arial" w:eastAsia="Arial" w:hAnsi="Arial" w:cs="Arial"/>
          <w:b/>
          <w:bCs/>
          <w:color w:val="000000"/>
          <w:kern w:val="0"/>
          <w:sz w:val="24"/>
          <w:szCs w:val="24"/>
          <w:lang w:val="en-US"/>
          <w14:ligatures w14:val="none"/>
        </w:rPr>
      </w:pPr>
    </w:p>
    <w:p w14:paraId="166EA91B" w14:textId="77777777" w:rsidR="0093626A" w:rsidRPr="00634580" w:rsidRDefault="0093626A" w:rsidP="00634580">
      <w:pPr>
        <w:spacing w:after="0" w:line="360" w:lineRule="auto"/>
        <w:jc w:val="center"/>
        <w:rPr>
          <w:rFonts w:ascii="Arial" w:eastAsia="Arial" w:hAnsi="Arial" w:cs="Arial"/>
          <w:b/>
          <w:bCs/>
          <w:color w:val="000000"/>
          <w:kern w:val="0"/>
          <w:sz w:val="24"/>
          <w:szCs w:val="24"/>
          <w:lang w:val="en-US"/>
          <w14:ligatures w14:val="none"/>
        </w:rPr>
      </w:pPr>
    </w:p>
    <w:p w14:paraId="4B3ABA04" w14:textId="77777777" w:rsidR="0093626A" w:rsidRDefault="00000000" w:rsidP="00634580">
      <w:pPr>
        <w:spacing w:after="0" w:line="360" w:lineRule="auto"/>
        <w:jc w:val="center"/>
        <w:rPr>
          <w:rFonts w:ascii="Arial" w:eastAsia="Arial" w:hAnsi="Arial" w:cs="Arial"/>
          <w:b/>
          <w:bCs/>
          <w:color w:val="000000"/>
          <w:kern w:val="0"/>
          <w:sz w:val="24"/>
          <w:szCs w:val="24"/>
          <w:lang w:val="es-ES"/>
          <w14:ligatures w14:val="none"/>
        </w:rPr>
      </w:pPr>
      <w:bookmarkStart w:id="7" w:name="_Hlk219800528"/>
      <w:r>
        <w:rPr>
          <w:rFonts w:ascii="Arial" w:eastAsia="Arial" w:hAnsi="Arial" w:cs="Arial"/>
          <w:b/>
          <w:bCs/>
          <w:color w:val="000000"/>
          <w:kern w:val="0"/>
          <w:sz w:val="24"/>
          <w:szCs w:val="24"/>
          <w:lang w:val="es-ES"/>
          <w14:ligatures w14:val="none"/>
        </w:rPr>
        <w:lastRenderedPageBreak/>
        <w:t>MOVILIDAD E INTERNACIONALIZACIÓN DE PROFESORES MEXICANOS COMO ELEMENTO DE LA GLOBALIZACIÓN EN LA EDUCACIÓN</w:t>
      </w:r>
    </w:p>
    <w:bookmarkEnd w:id="7"/>
    <w:p w14:paraId="26FF0658" w14:textId="77777777" w:rsidR="0093626A" w:rsidRDefault="0093626A" w:rsidP="00634580">
      <w:pPr>
        <w:spacing w:after="0" w:line="360" w:lineRule="auto"/>
        <w:jc w:val="center"/>
        <w:rPr>
          <w:rFonts w:ascii="Arial" w:eastAsia="Arial" w:hAnsi="Arial" w:cs="Arial"/>
          <w:b/>
          <w:bCs/>
          <w:color w:val="000000"/>
          <w:kern w:val="0"/>
          <w:sz w:val="24"/>
          <w:szCs w:val="24"/>
          <w:lang w:val="es-ES"/>
          <w14:ligatures w14:val="none"/>
        </w:rPr>
      </w:pPr>
    </w:p>
    <w:p w14:paraId="20A31E1C" w14:textId="77777777" w:rsidR="0093626A" w:rsidRPr="00634580" w:rsidRDefault="00000000" w:rsidP="00634580">
      <w:pPr>
        <w:spacing w:after="0" w:line="360" w:lineRule="auto"/>
        <w:jc w:val="center"/>
        <w:rPr>
          <w:rFonts w:ascii="Arial" w:eastAsia="Arial" w:hAnsi="Arial" w:cs="Arial"/>
          <w:b/>
          <w:bCs/>
          <w:color w:val="000000"/>
          <w:kern w:val="0"/>
          <w:sz w:val="24"/>
          <w:szCs w:val="24"/>
          <w:lang w:val="es-ES"/>
          <w14:ligatures w14:val="none"/>
        </w:rPr>
      </w:pPr>
      <w:r>
        <w:rPr>
          <w:rFonts w:ascii="Arial" w:eastAsia="Arial" w:hAnsi="Arial"/>
          <w:b/>
          <w:bCs/>
          <w:color w:val="000000"/>
          <w:kern w:val="0"/>
          <w:sz w:val="24"/>
          <w:szCs w:val="24"/>
          <w:lang w:val="es-ES"/>
          <w14:ligatures w14:val="none"/>
        </w:rPr>
        <w:t>MOBILITY AND INTERNATIONALIZATION OF MEXICAN TEACHERS AS AN ELEMENT OF GLOBALIZATION IN EDUCATION</w:t>
      </w:r>
    </w:p>
    <w:p w14:paraId="2CC6DE3B" w14:textId="77777777" w:rsidR="0093626A" w:rsidRPr="00634580" w:rsidRDefault="00000000" w:rsidP="00634580">
      <w:pPr>
        <w:spacing w:after="0" w:line="360" w:lineRule="auto"/>
        <w:jc w:val="both"/>
        <w:rPr>
          <w:rFonts w:ascii="Arial" w:eastAsia="Arial Unicode MS" w:hAnsi="Arial" w:cs="Arial"/>
          <w:kern w:val="0"/>
          <w:sz w:val="24"/>
          <w:szCs w:val="24"/>
          <w14:ligatures w14:val="none"/>
        </w:rPr>
      </w:pPr>
      <w:r>
        <w:rPr>
          <w:rFonts w:ascii="Arial" w:eastAsia="Arial" w:hAnsi="Arial" w:cs="Arial"/>
          <w:b/>
          <w:bCs/>
          <w:color w:val="000000"/>
          <w:kern w:val="0"/>
          <w:sz w:val="24"/>
          <w:szCs w:val="24"/>
          <w:lang w:val="es-ES"/>
          <w14:ligatures w14:val="none"/>
        </w:rPr>
        <w:t xml:space="preserve"> </w:t>
      </w:r>
    </w:p>
    <w:p w14:paraId="45549518" w14:textId="137B7D8D" w:rsidR="0093626A" w:rsidRPr="00634580" w:rsidRDefault="00000000" w:rsidP="00634580">
      <w:pPr>
        <w:spacing w:after="0" w:line="360" w:lineRule="auto"/>
        <w:jc w:val="center"/>
        <w:rPr>
          <w:rFonts w:ascii="Arial" w:eastAsia="Arial" w:hAnsi="Arial" w:cs="Arial"/>
          <w:i/>
          <w:iCs/>
          <w:color w:val="000000"/>
          <w:kern w:val="0"/>
          <w:sz w:val="24"/>
          <w:szCs w:val="24"/>
          <w:lang w:val="es-ES"/>
          <w14:ligatures w14:val="none"/>
        </w:rPr>
      </w:pPr>
      <w:r>
        <w:rPr>
          <w:rFonts w:ascii="Arial" w:eastAsia="Arial" w:hAnsi="Arial" w:cs="Arial"/>
          <w:b/>
          <w:bCs/>
          <w:color w:val="000000"/>
          <w:kern w:val="0"/>
          <w:sz w:val="24"/>
          <w:szCs w:val="24"/>
          <w:lang w:val="es-ES"/>
          <w14:ligatures w14:val="none"/>
        </w:rPr>
        <w:t xml:space="preserve"> </w:t>
      </w:r>
      <w:bookmarkStart w:id="8" w:name="_Hlk219800548"/>
      <w:r w:rsidRPr="00634580">
        <w:rPr>
          <w:rFonts w:ascii="Arial" w:eastAsia="Arial" w:hAnsi="Arial" w:cs="Arial"/>
          <w:i/>
          <w:iCs/>
          <w:color w:val="000000"/>
          <w:kern w:val="0"/>
          <w:sz w:val="24"/>
          <w:szCs w:val="24"/>
          <w:lang w:val="es-ES"/>
          <w14:ligatures w14:val="none"/>
        </w:rPr>
        <w:t>Beatriz A. Corona-Figueroa*</w:t>
      </w:r>
    </w:p>
    <w:p w14:paraId="58E89821" w14:textId="77777777" w:rsidR="0093626A" w:rsidRPr="00634580" w:rsidRDefault="00000000" w:rsidP="00634580">
      <w:pPr>
        <w:spacing w:after="0" w:line="360" w:lineRule="auto"/>
        <w:jc w:val="center"/>
        <w:rPr>
          <w:rFonts w:ascii="Arial" w:eastAsia="Arial" w:hAnsi="Arial" w:cs="Arial"/>
          <w:i/>
          <w:iCs/>
          <w:color w:val="000000"/>
          <w:kern w:val="0"/>
          <w:sz w:val="24"/>
          <w:szCs w:val="24"/>
          <w:lang w:val="es-ES"/>
          <w14:ligatures w14:val="none"/>
        </w:rPr>
      </w:pPr>
      <w:r w:rsidRPr="00634580">
        <w:rPr>
          <w:rFonts w:ascii="Arial" w:eastAsia="Arial" w:hAnsi="Arial" w:cs="Arial"/>
          <w:i/>
          <w:iCs/>
          <w:color w:val="000000"/>
          <w:kern w:val="0"/>
          <w:sz w:val="24"/>
          <w:szCs w:val="24"/>
          <w:lang w:val="es-ES"/>
          <w14:ligatures w14:val="none"/>
        </w:rPr>
        <w:t>María Fernanda Flores Álvarez*</w:t>
      </w:r>
    </w:p>
    <w:p w14:paraId="6E20FEBB" w14:textId="77777777" w:rsidR="0093626A" w:rsidRPr="00634580" w:rsidRDefault="00000000" w:rsidP="00634580">
      <w:pPr>
        <w:spacing w:after="0" w:line="360" w:lineRule="auto"/>
        <w:jc w:val="center"/>
        <w:rPr>
          <w:rFonts w:ascii="Arial" w:eastAsia="Arial" w:hAnsi="Arial" w:cs="Arial"/>
          <w:i/>
          <w:iCs/>
          <w:color w:val="000000"/>
          <w:kern w:val="0"/>
          <w:sz w:val="24"/>
          <w:szCs w:val="24"/>
          <w:lang w:val="es-ES"/>
          <w14:ligatures w14:val="none"/>
        </w:rPr>
      </w:pPr>
      <w:r w:rsidRPr="00634580">
        <w:rPr>
          <w:rFonts w:ascii="Arial" w:eastAsia="Arial" w:hAnsi="Arial" w:cs="Arial"/>
          <w:i/>
          <w:iCs/>
          <w:color w:val="000000"/>
          <w:kern w:val="0"/>
          <w:sz w:val="24"/>
          <w:szCs w:val="24"/>
          <w:lang w:val="es-ES"/>
          <w14:ligatures w14:val="none"/>
        </w:rPr>
        <w:t>Ana Rosa Navarro Hernández*</w:t>
      </w:r>
    </w:p>
    <w:bookmarkEnd w:id="8"/>
    <w:p w14:paraId="02D9367C" w14:textId="77777777" w:rsidR="0093626A" w:rsidRDefault="0093626A" w:rsidP="00634580">
      <w:pPr>
        <w:spacing w:after="0" w:line="360" w:lineRule="auto"/>
        <w:jc w:val="both"/>
        <w:rPr>
          <w:rFonts w:ascii="Arial" w:eastAsia="Arial" w:hAnsi="Arial" w:cs="Arial"/>
          <w:i/>
          <w:iCs/>
          <w:color w:val="000000"/>
          <w:kern w:val="0"/>
          <w:sz w:val="24"/>
          <w:szCs w:val="24"/>
          <w:lang w:val="es-ES"/>
          <w14:ligatures w14:val="none"/>
        </w:rPr>
      </w:pPr>
    </w:p>
    <w:p w14:paraId="620BF1E9" w14:textId="77777777" w:rsidR="0093626A" w:rsidRDefault="00000000" w:rsidP="00634580">
      <w:pPr>
        <w:spacing w:after="0" w:line="360" w:lineRule="auto"/>
        <w:jc w:val="both"/>
        <w:rPr>
          <w:rFonts w:ascii="Arial" w:eastAsia="Arial" w:hAnsi="Arial" w:cs="Arial"/>
          <w:i/>
          <w:iCs/>
          <w:color w:val="000000"/>
          <w:kern w:val="0"/>
          <w:sz w:val="24"/>
          <w:szCs w:val="24"/>
          <w:lang w:val="es-ES"/>
          <w14:ligatures w14:val="none"/>
        </w:rPr>
      </w:pPr>
      <w:r>
        <w:rPr>
          <w:rFonts w:ascii="Arial" w:eastAsia="Arial" w:hAnsi="Arial" w:cs="Arial"/>
          <w:i/>
          <w:iCs/>
          <w:color w:val="000000"/>
          <w:kern w:val="0"/>
          <w:sz w:val="24"/>
          <w:szCs w:val="24"/>
          <w:lang w:val="es-ES"/>
          <w14:ligatures w14:val="none"/>
        </w:rPr>
        <w:t>*Universidad Autónoma de Guadalajara</w:t>
      </w:r>
    </w:p>
    <w:p w14:paraId="7F4C60B1" w14:textId="77777777" w:rsidR="0093626A" w:rsidRPr="00634580" w:rsidRDefault="00000000" w:rsidP="00634580">
      <w:pPr>
        <w:spacing w:after="0" w:line="360" w:lineRule="auto"/>
        <w:jc w:val="both"/>
        <w:rPr>
          <w:rFonts w:ascii="Arial" w:eastAsia="Arial Unicode MS" w:hAnsi="Arial" w:cs="Arial"/>
          <w:kern w:val="0"/>
          <w:sz w:val="24"/>
          <w:szCs w:val="24"/>
          <w14:ligatures w14:val="none"/>
        </w:rPr>
      </w:pPr>
      <w:r>
        <w:rPr>
          <w:rFonts w:ascii="Arial" w:eastAsia="Arial" w:hAnsi="Arial" w:cs="Arial"/>
          <w:color w:val="000000"/>
          <w:kern w:val="0"/>
          <w:sz w:val="24"/>
          <w:szCs w:val="24"/>
          <w:lang w:val="es-ES"/>
          <w14:ligatures w14:val="none"/>
        </w:rPr>
        <w:t xml:space="preserve"> </w:t>
      </w:r>
    </w:p>
    <w:p w14:paraId="30267078" w14:textId="77777777" w:rsidR="0093626A" w:rsidRPr="00634580" w:rsidRDefault="00000000" w:rsidP="00634580">
      <w:pPr>
        <w:spacing w:after="0" w:line="360" w:lineRule="auto"/>
        <w:jc w:val="both"/>
        <w:rPr>
          <w:rFonts w:ascii="Arial" w:eastAsia="Arial" w:hAnsi="Arial" w:cs="Arial"/>
          <w:b/>
          <w:bCs/>
          <w:color w:val="000000"/>
          <w:kern w:val="0"/>
          <w:sz w:val="24"/>
          <w:szCs w:val="24"/>
          <w:lang w:val="es-ES"/>
          <w14:ligatures w14:val="none"/>
        </w:rPr>
      </w:pPr>
      <w:r w:rsidRPr="00634580">
        <w:rPr>
          <w:rFonts w:ascii="Arial" w:eastAsia="Arial" w:hAnsi="Arial" w:cs="Arial"/>
          <w:b/>
          <w:bCs/>
          <w:color w:val="000000"/>
          <w:kern w:val="0"/>
          <w:sz w:val="24"/>
          <w:szCs w:val="24"/>
          <w:lang w:val="es-ES"/>
          <w14:ligatures w14:val="none"/>
        </w:rPr>
        <w:t>Resumen</w:t>
      </w:r>
    </w:p>
    <w:p w14:paraId="4DB58356" w14:textId="77777777" w:rsidR="0093626A" w:rsidRPr="00634580" w:rsidRDefault="00000000" w:rsidP="00634580">
      <w:pPr>
        <w:spacing w:after="0" w:line="360" w:lineRule="auto"/>
        <w:ind w:firstLine="360"/>
        <w:jc w:val="both"/>
        <w:rPr>
          <w:rFonts w:ascii="Arial" w:eastAsia="Arial Nova" w:hAnsi="Arial" w:cs="Arial"/>
          <w:color w:val="000000"/>
          <w:kern w:val="0"/>
          <w:sz w:val="24"/>
          <w:szCs w:val="24"/>
          <w:lang w:val="es-ES"/>
          <w14:ligatures w14:val="none"/>
        </w:rPr>
      </w:pPr>
      <w:r w:rsidRPr="00634580">
        <w:rPr>
          <w:rFonts w:ascii="Arial" w:eastAsia="Arial Nova" w:hAnsi="Arial" w:cs="Arial"/>
          <w:color w:val="000000"/>
          <w:kern w:val="0"/>
          <w:sz w:val="24"/>
          <w:szCs w:val="24"/>
          <w:lang w:val="es-ES"/>
          <w14:ligatures w14:val="none"/>
        </w:rPr>
        <w:t xml:space="preserve">La movilidad de los docentes es cada vez más un elemento constitutivo de la interacción de la universidad con el entorno nacional e internacional. Aunque la movilidad ha existido a lo largo de la historia, en las últimas décadas se ha visto difundida y fortalecida por las facilidades virtuales, por la necesidad de capacitar recursos humanos internacionalmente competentes y de formar a una generación hiperconectada y global. El principal objetivo del presente trabajo fue visualizar los beneficios que la movilidad aporta a la formación de profesores, así como los efectos a largo plazo en el crecimiento educativo y el alcance que esta práctica trae consigo alrededor del mundo. Se empleó una metodología cualitativa, con técnica de grupo focal aplicada en un conjunto de cinco profesores que habían tenido experiencias de movilidad docente internacional en la Universidad Autónoma de Guadalajara. Para el análisis de los datos, se utilizó el software Atlas TI, versión 23, con herramientas de inteligencia artificial para la asignación de los códigos. En los resultados, se mostraron dos vertientes de análisis, una que se identificó con temáticas de internacionalización (innovación, dificultades, interculturalidad e investigación) y otra con temáticas de tipo psicoeducativo (cultura, educación universitaria, sentimientos negativos e interacción y responsabilidad). Conclusiones: </w:t>
      </w:r>
      <w:r w:rsidRPr="00634580">
        <w:rPr>
          <w:rFonts w:ascii="Arial" w:eastAsia="Arial Nova" w:hAnsi="Arial" w:cs="Arial"/>
          <w:color w:val="000000"/>
          <w:kern w:val="0"/>
          <w:sz w:val="24"/>
          <w:szCs w:val="24"/>
          <w:lang w:val="es-ES"/>
          <w14:ligatures w14:val="none"/>
        </w:rPr>
        <w:lastRenderedPageBreak/>
        <w:t xml:space="preserve">los docentes exponen obstáculos y facilitadores, ganancias, diferencias culturales y alternativas de acción para mejorar los alcances de las experiencias de movilidad. </w:t>
      </w:r>
    </w:p>
    <w:p w14:paraId="05FAAF17" w14:textId="77777777" w:rsidR="0093626A" w:rsidRPr="00634580" w:rsidRDefault="0093626A" w:rsidP="00634580">
      <w:pPr>
        <w:spacing w:after="0" w:line="360" w:lineRule="auto"/>
        <w:ind w:firstLine="360"/>
        <w:jc w:val="both"/>
        <w:rPr>
          <w:rFonts w:ascii="Arial" w:eastAsia="Arial Nova" w:hAnsi="Arial" w:cs="Arial"/>
          <w:color w:val="000000"/>
          <w:kern w:val="0"/>
          <w:sz w:val="24"/>
          <w:szCs w:val="24"/>
          <w:lang w:val="es-ES"/>
          <w14:ligatures w14:val="none"/>
        </w:rPr>
      </w:pPr>
    </w:p>
    <w:p w14:paraId="7D1BC916" w14:textId="77777777" w:rsidR="0093626A" w:rsidRPr="00634580" w:rsidRDefault="00000000" w:rsidP="00634580">
      <w:pPr>
        <w:spacing w:after="0" w:line="360" w:lineRule="auto"/>
        <w:jc w:val="both"/>
        <w:rPr>
          <w:rFonts w:ascii="Arial" w:eastAsia="Arial Nova" w:hAnsi="Arial" w:cs="Arial"/>
          <w:color w:val="000000"/>
          <w:kern w:val="0"/>
          <w:sz w:val="24"/>
          <w:szCs w:val="24"/>
          <w:lang w:val="en-US"/>
          <w14:ligatures w14:val="none"/>
        </w:rPr>
      </w:pPr>
      <w:r w:rsidRPr="00634580">
        <w:rPr>
          <w:rFonts w:ascii="Arial" w:eastAsia="Arial Nova" w:hAnsi="Arial" w:cs="Arial"/>
          <w:color w:val="000000"/>
          <w:kern w:val="0"/>
          <w:sz w:val="24"/>
          <w:szCs w:val="24"/>
          <w:lang w:val="en-US"/>
          <w14:ligatures w14:val="none"/>
        </w:rPr>
        <w:t>Abstract</w:t>
      </w:r>
    </w:p>
    <w:p w14:paraId="2DFE58FD" w14:textId="77777777" w:rsidR="0093626A" w:rsidRPr="00634580" w:rsidRDefault="00000000" w:rsidP="00634580">
      <w:pPr>
        <w:spacing w:after="0" w:line="360" w:lineRule="auto"/>
        <w:jc w:val="both"/>
        <w:rPr>
          <w:rFonts w:ascii="Arial" w:eastAsia="Arial Nova" w:hAnsi="Arial" w:cs="Arial"/>
          <w:color w:val="000000"/>
          <w:kern w:val="0"/>
          <w:sz w:val="24"/>
          <w:szCs w:val="24"/>
          <w:lang w:val="en-US"/>
          <w14:ligatures w14:val="none"/>
        </w:rPr>
      </w:pPr>
      <w:r w:rsidRPr="00634580">
        <w:rPr>
          <w:rFonts w:ascii="Arial" w:eastAsia="Arial Nova" w:hAnsi="Arial" w:cs="Arial"/>
          <w:color w:val="000000"/>
          <w:kern w:val="0"/>
          <w:sz w:val="24"/>
          <w:szCs w:val="24"/>
          <w:lang w:val="en-US"/>
          <w14:ligatures w14:val="none"/>
        </w:rPr>
        <w:t>Faculty mobility is increasingly becoming a fundamental element of the university's interactions in national and international contexts. Although mobility has existed throughout history, in recent decades, it has been widely spread and strengthened by virtual possibilities, the need to train internationally competent human resources, and the education of a hyperconnected and global generation. The main objective of this exercise was to visualize the benefits that mobility brings to faculty training, as well as the long-term effects on educational growth and the impact this practice has worldwide. A qualitative methodology was employed, using a focus group technique applied to a group of five teachers who experienced international teacher mobility at the Universidad Autónoma de Guadalajara. For data analysis, Atlas TI software, version 23, was used, along with artificial intelligence tools for code assignment. The results revealed two areas of analysis, one identified with themes of internationalization (innovation, challenges, interculturality, and research) and the other with psychoeducational themes (culture, university education, negative feelings, and interaction and responsibility). Conclusions: professors identified obstacles and facilitators, gains, cultural differences, and action alternatives to enhance the outcomes of mobility experiences.</w:t>
      </w:r>
    </w:p>
    <w:p w14:paraId="0F601BA2" w14:textId="77777777" w:rsidR="0093626A" w:rsidRDefault="0093626A" w:rsidP="00634580">
      <w:pPr>
        <w:spacing w:after="0" w:line="360" w:lineRule="auto"/>
        <w:jc w:val="both"/>
        <w:rPr>
          <w:rFonts w:ascii="Arial" w:eastAsia="Arial" w:hAnsi="Arial" w:cs="Arial"/>
          <w:color w:val="000000"/>
          <w:kern w:val="0"/>
          <w:sz w:val="24"/>
          <w:szCs w:val="24"/>
          <w:lang w:val="en-US"/>
          <w14:ligatures w14:val="none"/>
        </w:rPr>
      </w:pPr>
    </w:p>
    <w:p w14:paraId="7510E08D" w14:textId="77777777" w:rsidR="0093626A" w:rsidRDefault="00000000" w:rsidP="00634580">
      <w:pPr>
        <w:spacing w:after="0" w:line="360" w:lineRule="auto"/>
        <w:jc w:val="both"/>
        <w:rPr>
          <w:rFonts w:ascii="Arial" w:eastAsia="Arial" w:hAnsi="Arial" w:cs="Arial"/>
          <w:b/>
          <w:bCs/>
          <w:kern w:val="0"/>
          <w:sz w:val="24"/>
          <w:szCs w:val="24"/>
          <w:lang w:val="es-ES"/>
          <w14:ligatures w14:val="none"/>
        </w:rPr>
      </w:pPr>
      <w:r>
        <w:rPr>
          <w:rFonts w:ascii="Arial" w:eastAsia="Arial" w:hAnsi="Arial" w:cs="Arial"/>
          <w:b/>
          <w:bCs/>
          <w:kern w:val="0"/>
          <w:sz w:val="24"/>
          <w:szCs w:val="24"/>
          <w:lang w:val="es-ES"/>
          <w14:ligatures w14:val="none"/>
        </w:rPr>
        <w:t>INTRODUCCIÓN</w:t>
      </w:r>
    </w:p>
    <w:p w14:paraId="23838519" w14:textId="77777777" w:rsidR="0093626A" w:rsidRDefault="0093626A" w:rsidP="00634580">
      <w:pPr>
        <w:spacing w:after="0" w:line="360" w:lineRule="auto"/>
        <w:jc w:val="both"/>
        <w:rPr>
          <w:rFonts w:ascii="Arial" w:eastAsia="Arial" w:hAnsi="Arial" w:cs="Arial"/>
          <w:b/>
          <w:bCs/>
          <w:kern w:val="0"/>
          <w:sz w:val="24"/>
          <w:szCs w:val="24"/>
          <w:lang w:val="es-ES"/>
          <w14:ligatures w14:val="none"/>
        </w:rPr>
      </w:pPr>
    </w:p>
    <w:p w14:paraId="0795DDF0" w14:textId="77777777" w:rsidR="0093626A" w:rsidRDefault="00000000" w:rsidP="005915A7">
      <w:pPr>
        <w:numPr>
          <w:ilvl w:val="0"/>
          <w:numId w:val="5"/>
        </w:numPr>
        <w:spacing w:after="0" w:line="360" w:lineRule="auto"/>
        <w:contextualSpacing/>
        <w:jc w:val="both"/>
        <w:rPr>
          <w:rFonts w:ascii="Arial" w:eastAsia="Arial" w:hAnsi="Arial" w:cs="Arial"/>
          <w:b/>
          <w:bCs/>
          <w:kern w:val="0"/>
          <w:sz w:val="24"/>
          <w:szCs w:val="24"/>
          <w:lang w:val="es-ES"/>
          <w14:ligatures w14:val="none"/>
        </w:rPr>
      </w:pPr>
      <w:r>
        <w:rPr>
          <w:rFonts w:ascii="Arial" w:eastAsia="Arial" w:hAnsi="Arial" w:cs="Arial"/>
          <w:color w:val="000000"/>
          <w:kern w:val="0"/>
          <w:sz w:val="24"/>
          <w:szCs w:val="24"/>
          <w:lang w:val="es-ES"/>
          <w14:ligatures w14:val="none"/>
        </w:rPr>
        <w:t xml:space="preserve">  </w:t>
      </w:r>
      <w:r>
        <w:rPr>
          <w:rFonts w:ascii="Arial" w:eastAsia="Arial" w:hAnsi="Arial" w:cs="Arial"/>
          <w:b/>
          <w:bCs/>
          <w:kern w:val="0"/>
          <w:sz w:val="24"/>
          <w:szCs w:val="24"/>
          <w:lang w:val="es-ES"/>
          <w14:ligatures w14:val="none"/>
        </w:rPr>
        <w:t xml:space="preserve">Planteamiento del problema y contextualización </w:t>
      </w:r>
    </w:p>
    <w:p w14:paraId="1B6FE91A" w14:textId="77777777" w:rsidR="0093626A" w:rsidRPr="00634580" w:rsidRDefault="00000000" w:rsidP="005915A7">
      <w:pPr>
        <w:spacing w:after="0" w:line="360" w:lineRule="auto"/>
        <w:ind w:firstLine="360"/>
        <w:jc w:val="both"/>
        <w:rPr>
          <w:rFonts w:ascii="Arial" w:eastAsia="Arial Unicode MS" w:hAnsi="Arial" w:cs="Arial"/>
          <w:kern w:val="0"/>
          <w:sz w:val="24"/>
          <w:szCs w:val="24"/>
          <w14:ligatures w14:val="none"/>
        </w:rPr>
      </w:pPr>
      <w:r>
        <w:rPr>
          <w:rFonts w:ascii="Arial" w:eastAsia="Arial" w:hAnsi="Arial" w:cs="Arial"/>
          <w:color w:val="000000"/>
          <w:kern w:val="0"/>
          <w:sz w:val="24"/>
          <w:szCs w:val="24"/>
          <w:lang w:val="es-ES"/>
          <w14:ligatures w14:val="none"/>
        </w:rPr>
        <w:t xml:space="preserve">La internacionalización de estudiantes y profesores, como fenómeno, existe estrictamente desde la Edad Media cuando, en las universidades de la época, diversos profesores podían mudarse a otro país (europeos, principalmente) para seguir ejerciendo su docencia en las universidades de mayor renombre. Sin embargo, en la época moderna, particularmente en la segunda mitad del Siglo XX y por los cambios geopolíticos traídos por las guerras mundiales o los cambios de </w:t>
      </w:r>
      <w:r>
        <w:rPr>
          <w:rFonts w:ascii="Arial" w:eastAsia="Arial" w:hAnsi="Arial" w:cs="Arial"/>
          <w:color w:val="000000"/>
          <w:kern w:val="0"/>
          <w:sz w:val="24"/>
          <w:szCs w:val="24"/>
          <w:lang w:val="es-ES"/>
          <w14:ligatures w14:val="none"/>
        </w:rPr>
        <w:lastRenderedPageBreak/>
        <w:t xml:space="preserve">régimen de gobierno en algunas regiones, se promovieron nuevas relaciones entre los países y la internacionalización se volvió una herramienta para el intercambio cultural y mejoramiento de la calidad académica (Fernández y Ruzo, 2002). </w:t>
      </w:r>
    </w:p>
    <w:p w14:paraId="2F4E44AA" w14:textId="77777777" w:rsidR="0093626A" w:rsidRPr="00634580" w:rsidRDefault="00000000" w:rsidP="005915A7">
      <w:pPr>
        <w:spacing w:after="0" w:line="360" w:lineRule="auto"/>
        <w:ind w:firstLine="360"/>
        <w:jc w:val="both"/>
        <w:rPr>
          <w:rFonts w:ascii="Arial" w:eastAsia="Arial Unicode MS" w:hAnsi="Arial" w:cs="Arial"/>
          <w:kern w:val="0"/>
          <w:sz w:val="24"/>
          <w:szCs w:val="24"/>
          <w14:ligatures w14:val="none"/>
        </w:rPr>
      </w:pPr>
      <w:r>
        <w:rPr>
          <w:rFonts w:ascii="Arial" w:eastAsia="Arial" w:hAnsi="Arial" w:cs="Arial"/>
          <w:color w:val="000000"/>
          <w:kern w:val="0"/>
          <w:sz w:val="24"/>
          <w:szCs w:val="24"/>
          <w:lang w:val="es-ES"/>
          <w14:ligatures w14:val="none"/>
        </w:rPr>
        <w:t xml:space="preserve"> </w:t>
      </w:r>
    </w:p>
    <w:p w14:paraId="68AD0CC4" w14:textId="77777777" w:rsidR="0093626A" w:rsidRPr="00634580" w:rsidRDefault="00000000" w:rsidP="005915A7">
      <w:pPr>
        <w:spacing w:after="0" w:line="360" w:lineRule="auto"/>
        <w:ind w:firstLine="360"/>
        <w:jc w:val="both"/>
        <w:rPr>
          <w:rFonts w:ascii="Arial" w:eastAsia="Arial Unicode MS" w:hAnsi="Arial" w:cs="Arial"/>
          <w:kern w:val="0"/>
          <w:sz w:val="24"/>
          <w:szCs w:val="24"/>
          <w14:ligatures w14:val="none"/>
        </w:rPr>
      </w:pPr>
      <w:r>
        <w:rPr>
          <w:rFonts w:ascii="Arial" w:eastAsia="Arial" w:hAnsi="Arial" w:cs="Arial"/>
          <w:color w:val="000000"/>
          <w:kern w:val="0"/>
          <w:sz w:val="24"/>
          <w:szCs w:val="24"/>
          <w:lang w:val="es-ES"/>
          <w14:ligatures w14:val="none"/>
        </w:rPr>
        <w:t xml:space="preserve">Los esfuerzos globalizadores de la educación en las últimas décadas se han presentado, sobre todo, del lado de las políticas neoliberales de organismos como la Organización para la Cooperación y el Desarrollo Económico (OCDE). Estas políticas favorecieron en muchos sentidos el crecimiento económico, los tratados internacionales, los acuerdos regionales y el intercambio dentro de todo lo cual, la educación era un elemento esencial (López y Sanmartín, 2004). Sin embargo, y pese a sus enormes beneficios, la globalización en educación no ha alcanzado a todos los grupos de manera igual y existen grupos que no han tenido acceso a la posibilidad de competir, donde la expansión de la educación no necesariamente ha logrado su objetivo de ser motor del desarrollo económico (Bonal, 2009). </w:t>
      </w:r>
    </w:p>
    <w:p w14:paraId="51CFA154" w14:textId="77777777" w:rsidR="0093626A" w:rsidRDefault="0093626A" w:rsidP="005915A7">
      <w:pPr>
        <w:spacing w:after="0" w:line="360" w:lineRule="auto"/>
        <w:ind w:firstLine="360"/>
        <w:jc w:val="both"/>
        <w:rPr>
          <w:rFonts w:ascii="Arial" w:eastAsia="Arial" w:hAnsi="Arial" w:cs="Arial"/>
          <w:color w:val="000000"/>
          <w:kern w:val="0"/>
          <w:sz w:val="24"/>
          <w:szCs w:val="24"/>
          <w:lang w:val="es-ES"/>
          <w14:ligatures w14:val="none"/>
        </w:rPr>
      </w:pPr>
    </w:p>
    <w:p w14:paraId="256D0376" w14:textId="77777777" w:rsidR="0093626A" w:rsidRPr="00634580" w:rsidRDefault="00000000" w:rsidP="005915A7">
      <w:pPr>
        <w:spacing w:after="0" w:line="360" w:lineRule="auto"/>
        <w:ind w:firstLine="360"/>
        <w:jc w:val="both"/>
        <w:rPr>
          <w:rFonts w:ascii="Arial" w:eastAsia="Arial Unicode MS" w:hAnsi="Arial" w:cs="Arial"/>
          <w:kern w:val="0"/>
          <w:sz w:val="24"/>
          <w:szCs w:val="24"/>
          <w14:ligatures w14:val="none"/>
        </w:rPr>
      </w:pPr>
      <w:r>
        <w:rPr>
          <w:rFonts w:ascii="Arial" w:eastAsia="Arial" w:hAnsi="Arial" w:cs="Arial"/>
          <w:color w:val="000000"/>
          <w:kern w:val="0"/>
          <w:sz w:val="24"/>
          <w:szCs w:val="24"/>
          <w:lang w:val="es-ES"/>
          <w14:ligatures w14:val="none"/>
        </w:rPr>
        <w:t>Sin embargo, los fenómenos de internacionalización se han presentado en países de gran influencia en la comunidad mundial y han permitido el intercambio de información y talento, además de haber promovido la formación de grupos efectivos de trabajo. La movilidad de profesores es cada vez más una alternativa para enriquecer la enseñanza en un mundo rápidamente globalizado y con mayores demandas que encuentran en el intercambio su mayor espacio de desarrollo, con reconocimiento de la realidad regional y local en la que la educación se inserta (Sánchez y Romero, 2022).</w:t>
      </w:r>
      <w:r w:rsidRPr="00634580">
        <w:rPr>
          <w:rFonts w:ascii="Arial" w:eastAsia="Arial" w:hAnsi="Arial" w:cs="Arial"/>
          <w:color w:val="000000"/>
          <w:kern w:val="0"/>
          <w:sz w:val="24"/>
          <w:szCs w:val="24"/>
          <w:lang w:val="es-ES"/>
          <w14:ligatures w14:val="none"/>
        </w:rPr>
        <w:t xml:space="preserve"> </w:t>
      </w:r>
    </w:p>
    <w:p w14:paraId="622A8794" w14:textId="77777777" w:rsidR="0093626A" w:rsidRPr="00634580" w:rsidRDefault="0093626A" w:rsidP="005915A7">
      <w:pPr>
        <w:spacing w:after="0" w:line="360" w:lineRule="auto"/>
        <w:ind w:firstLine="360"/>
        <w:jc w:val="both"/>
        <w:rPr>
          <w:rFonts w:ascii="Arial" w:eastAsia="Arial" w:hAnsi="Arial" w:cs="Arial"/>
          <w:color w:val="000000"/>
          <w:kern w:val="0"/>
          <w:sz w:val="24"/>
          <w:szCs w:val="24"/>
          <w:lang w:val="es-ES"/>
          <w14:ligatures w14:val="none"/>
        </w:rPr>
      </w:pPr>
    </w:p>
    <w:p w14:paraId="14A01E12" w14:textId="77777777" w:rsidR="0093626A" w:rsidRPr="00634580" w:rsidRDefault="00000000" w:rsidP="005915A7">
      <w:pPr>
        <w:spacing w:after="0" w:line="360" w:lineRule="auto"/>
        <w:ind w:firstLine="360"/>
        <w:jc w:val="both"/>
        <w:rPr>
          <w:rFonts w:ascii="Arial" w:eastAsia="Arial Unicode MS" w:hAnsi="Arial" w:cs="Arial"/>
          <w:kern w:val="0"/>
          <w:sz w:val="24"/>
          <w:szCs w:val="24"/>
          <w14:ligatures w14:val="none"/>
        </w:rPr>
      </w:pPr>
      <w:r>
        <w:rPr>
          <w:rFonts w:ascii="Arial" w:eastAsia="Arial" w:hAnsi="Arial" w:cs="Arial"/>
          <w:color w:val="000000"/>
          <w:kern w:val="0"/>
          <w:sz w:val="24"/>
          <w:szCs w:val="24"/>
          <w:lang w:val="es-ES"/>
          <w14:ligatures w14:val="none"/>
        </w:rPr>
        <w:t xml:space="preserve">Por tal razón, de este planteamiento se derivan las siguientes interrogantes: </w:t>
      </w:r>
    </w:p>
    <w:p w14:paraId="5DAE6231" w14:textId="77777777" w:rsidR="0093626A" w:rsidRDefault="00000000" w:rsidP="005915A7">
      <w:pPr>
        <w:spacing w:after="0" w:line="360" w:lineRule="auto"/>
        <w:ind w:firstLine="360"/>
        <w:jc w:val="both"/>
        <w:rPr>
          <w:rFonts w:ascii="Arial" w:eastAsia="Arial" w:hAnsi="Arial" w:cs="Arial"/>
          <w:color w:val="000000"/>
          <w:kern w:val="0"/>
          <w:sz w:val="24"/>
          <w:szCs w:val="24"/>
          <w:lang w:val="es-ES"/>
          <w14:ligatures w14:val="none"/>
        </w:rPr>
      </w:pPr>
      <w:r>
        <w:rPr>
          <w:rFonts w:ascii="Arial" w:eastAsia="Arial" w:hAnsi="Arial" w:cs="Arial"/>
          <w:color w:val="000000"/>
          <w:kern w:val="0"/>
          <w:sz w:val="24"/>
          <w:szCs w:val="24"/>
          <w:lang w:val="es-ES"/>
          <w14:ligatures w14:val="none"/>
        </w:rPr>
        <w:t>¿Cuáles son los principales retos que las estructuras institucionales suponen para un profesor que desea participar en un programa de movilidad?</w:t>
      </w:r>
    </w:p>
    <w:p w14:paraId="05F9E0D9" w14:textId="77777777" w:rsidR="0093626A" w:rsidRDefault="00000000" w:rsidP="005915A7">
      <w:pPr>
        <w:spacing w:after="0" w:line="360" w:lineRule="auto"/>
        <w:ind w:firstLine="360"/>
        <w:jc w:val="both"/>
        <w:rPr>
          <w:rFonts w:ascii="Arial" w:eastAsia="Arial" w:hAnsi="Arial" w:cs="Arial"/>
          <w:kern w:val="0"/>
          <w:sz w:val="24"/>
          <w:szCs w:val="24"/>
          <w:lang w:val="es-ES"/>
          <w14:ligatures w14:val="none"/>
        </w:rPr>
      </w:pPr>
      <w:r>
        <w:rPr>
          <w:rFonts w:ascii="Arial" w:eastAsia="Arial" w:hAnsi="Arial" w:cs="Arial"/>
          <w:kern w:val="0"/>
          <w:sz w:val="24"/>
          <w:szCs w:val="24"/>
          <w:lang w:val="es-ES"/>
          <w14:ligatures w14:val="none"/>
        </w:rPr>
        <w:t>¿Cuáles son los principales aprendizajes que obtienen los profesores de las estancias en el extranjero?</w:t>
      </w:r>
    </w:p>
    <w:p w14:paraId="7D8093B2" w14:textId="77777777" w:rsidR="0093626A" w:rsidRDefault="0093626A" w:rsidP="005915A7">
      <w:pPr>
        <w:spacing w:after="0" w:line="360" w:lineRule="auto"/>
        <w:ind w:firstLine="360"/>
        <w:jc w:val="both"/>
        <w:rPr>
          <w:rFonts w:ascii="Arial" w:eastAsia="Arial" w:hAnsi="Arial" w:cs="Arial"/>
          <w:color w:val="000000"/>
          <w:kern w:val="0"/>
          <w:sz w:val="24"/>
          <w:szCs w:val="24"/>
          <w:lang w:val="es-ES"/>
          <w14:ligatures w14:val="none"/>
        </w:rPr>
      </w:pPr>
    </w:p>
    <w:p w14:paraId="48AEFF30" w14:textId="77777777" w:rsidR="0093626A" w:rsidRPr="00634580" w:rsidRDefault="00000000" w:rsidP="005915A7">
      <w:pPr>
        <w:spacing w:after="0" w:line="360" w:lineRule="auto"/>
        <w:ind w:firstLine="360"/>
        <w:jc w:val="both"/>
        <w:rPr>
          <w:rFonts w:ascii="Arial" w:eastAsia="Arial Unicode MS" w:hAnsi="Arial" w:cs="Arial"/>
          <w:kern w:val="0"/>
          <w:sz w:val="24"/>
          <w:szCs w:val="24"/>
          <w14:ligatures w14:val="none"/>
        </w:rPr>
      </w:pPr>
      <w:r>
        <w:rPr>
          <w:rFonts w:ascii="Arial" w:eastAsia="Arial" w:hAnsi="Arial" w:cs="Arial"/>
          <w:color w:val="000000"/>
          <w:kern w:val="0"/>
          <w:sz w:val="24"/>
          <w:szCs w:val="24"/>
          <w:lang w:val="es-ES"/>
          <w14:ligatures w14:val="none"/>
        </w:rPr>
        <w:t xml:space="preserve">De manera concreta, se establecieron los siguientes objetivos: </w:t>
      </w:r>
    </w:p>
    <w:p w14:paraId="7C80A116" w14:textId="77777777" w:rsidR="0093626A" w:rsidRDefault="0093626A" w:rsidP="005915A7">
      <w:pPr>
        <w:spacing w:after="0" w:line="360" w:lineRule="auto"/>
        <w:ind w:firstLine="360"/>
        <w:jc w:val="both"/>
        <w:rPr>
          <w:rFonts w:ascii="Arial" w:eastAsia="Arial" w:hAnsi="Arial" w:cs="Arial"/>
          <w:color w:val="000000"/>
          <w:kern w:val="0"/>
          <w:sz w:val="24"/>
          <w:szCs w:val="24"/>
          <w:lang w:val="es-ES"/>
          <w14:ligatures w14:val="none"/>
        </w:rPr>
      </w:pPr>
    </w:p>
    <w:p w14:paraId="6DB0C239" w14:textId="77777777" w:rsidR="0093626A" w:rsidRDefault="00000000" w:rsidP="005915A7">
      <w:pPr>
        <w:spacing w:after="0" w:line="360" w:lineRule="auto"/>
        <w:ind w:firstLine="360"/>
        <w:jc w:val="both"/>
        <w:rPr>
          <w:rFonts w:ascii="Arial" w:eastAsia="Arial" w:hAnsi="Arial" w:cs="Arial"/>
          <w:color w:val="000000"/>
          <w:kern w:val="0"/>
          <w:sz w:val="24"/>
          <w:szCs w:val="24"/>
          <w:lang w:val="es-ES"/>
          <w14:ligatures w14:val="none"/>
        </w:rPr>
      </w:pPr>
      <w:r>
        <w:rPr>
          <w:rFonts w:ascii="Arial" w:eastAsia="Arial" w:hAnsi="Arial" w:cs="Arial"/>
          <w:color w:val="000000"/>
          <w:kern w:val="0"/>
          <w:sz w:val="24"/>
          <w:szCs w:val="24"/>
          <w:lang w:val="es-ES"/>
          <w14:ligatures w14:val="none"/>
        </w:rPr>
        <w:t xml:space="preserve">Identificar cuáles son los principales retos a los que se enfrentan los profesores interesados en realizar movilidad internacional, tanto dentro de su propia institución como durante su estancia en el extranjero. </w:t>
      </w:r>
    </w:p>
    <w:p w14:paraId="31180104" w14:textId="77777777" w:rsidR="0093626A" w:rsidRDefault="0093626A" w:rsidP="005915A7">
      <w:pPr>
        <w:spacing w:after="0" w:line="360" w:lineRule="auto"/>
        <w:ind w:firstLine="360"/>
        <w:jc w:val="both"/>
        <w:rPr>
          <w:rFonts w:ascii="Arial" w:eastAsia="Arial" w:hAnsi="Arial" w:cs="Arial"/>
          <w:color w:val="000000"/>
          <w:kern w:val="0"/>
          <w:sz w:val="24"/>
          <w:szCs w:val="24"/>
          <w:lang w:val="es-ES"/>
          <w14:ligatures w14:val="none"/>
        </w:rPr>
      </w:pPr>
    </w:p>
    <w:p w14:paraId="00EBB71F" w14:textId="77777777" w:rsidR="0093626A" w:rsidRDefault="00000000" w:rsidP="005915A7">
      <w:pPr>
        <w:spacing w:after="0" w:line="360" w:lineRule="auto"/>
        <w:ind w:firstLine="360"/>
        <w:jc w:val="both"/>
        <w:rPr>
          <w:rFonts w:ascii="Arial" w:eastAsia="Arial" w:hAnsi="Arial" w:cs="Arial"/>
          <w:color w:val="000000"/>
          <w:kern w:val="0"/>
          <w:sz w:val="24"/>
          <w:szCs w:val="24"/>
          <w:lang w:val="es-ES"/>
          <w14:ligatures w14:val="none"/>
        </w:rPr>
      </w:pPr>
      <w:r>
        <w:rPr>
          <w:rFonts w:ascii="Arial" w:eastAsia="Arial" w:hAnsi="Arial" w:cs="Arial"/>
          <w:color w:val="000000"/>
          <w:kern w:val="0"/>
          <w:sz w:val="24"/>
          <w:szCs w:val="24"/>
          <w:lang w:val="es-ES"/>
          <w14:ligatures w14:val="none"/>
        </w:rPr>
        <w:t>Explorar los aprendizajes de la movilidad de profesores en las universidades pares internacionales y su contribución a la comunidad universitaria.</w:t>
      </w:r>
    </w:p>
    <w:p w14:paraId="6DDCCA5E" w14:textId="77777777" w:rsidR="0093626A" w:rsidRDefault="00000000" w:rsidP="005915A7">
      <w:pPr>
        <w:spacing w:after="0" w:line="360" w:lineRule="auto"/>
        <w:jc w:val="both"/>
        <w:rPr>
          <w:rFonts w:ascii="Arial" w:eastAsia="Arial" w:hAnsi="Arial" w:cs="Arial"/>
          <w:strike/>
          <w:color w:val="000000"/>
          <w:kern w:val="0"/>
          <w:sz w:val="24"/>
          <w:szCs w:val="24"/>
          <w:lang w:val="es-ES"/>
          <w14:ligatures w14:val="none"/>
        </w:rPr>
      </w:pPr>
      <w:r>
        <w:rPr>
          <w:rFonts w:ascii="Arial" w:eastAsia="Arial" w:hAnsi="Arial" w:cs="Arial"/>
          <w:color w:val="000000"/>
          <w:kern w:val="0"/>
          <w:sz w:val="24"/>
          <w:szCs w:val="24"/>
          <w:lang w:val="es-ES"/>
          <w14:ligatures w14:val="none"/>
        </w:rPr>
        <w:t xml:space="preserve"> </w:t>
      </w:r>
    </w:p>
    <w:p w14:paraId="4A4C7B80" w14:textId="77777777" w:rsidR="0093626A" w:rsidRDefault="00000000" w:rsidP="005915A7">
      <w:pPr>
        <w:spacing w:after="0" w:line="360" w:lineRule="auto"/>
        <w:ind w:firstLine="360"/>
        <w:jc w:val="both"/>
        <w:rPr>
          <w:rFonts w:ascii="Arial" w:eastAsia="Arial" w:hAnsi="Arial" w:cs="Arial"/>
          <w:color w:val="000000"/>
          <w:kern w:val="0"/>
          <w:sz w:val="24"/>
          <w:szCs w:val="24"/>
          <w:lang w:val="es-ES"/>
          <w14:ligatures w14:val="none"/>
        </w:rPr>
      </w:pPr>
      <w:r>
        <w:rPr>
          <w:rFonts w:ascii="Arial" w:eastAsia="Arial" w:hAnsi="Arial" w:cs="Arial"/>
          <w:color w:val="000000"/>
          <w:kern w:val="0"/>
          <w:sz w:val="24"/>
          <w:szCs w:val="24"/>
          <w:lang w:val="es-ES"/>
          <w14:ligatures w14:val="none"/>
        </w:rPr>
        <w:t xml:space="preserve">En función de la intención de poner en perspectiva los efectos que la movilidad tiene sobre los docentes y finalmente en la educación superior, se hipotetizó que, según la perspectiva de los profesores, esta práctica supone beneficios en el sentido de enriquecer la práctica docente y abrir las posibilidades de globalización para todos los actores del proceso educativo. </w:t>
      </w:r>
    </w:p>
    <w:p w14:paraId="732AAC8C" w14:textId="77777777" w:rsidR="0093626A" w:rsidRDefault="0093626A" w:rsidP="005915A7">
      <w:pPr>
        <w:spacing w:after="0" w:line="360" w:lineRule="auto"/>
        <w:ind w:firstLine="360"/>
        <w:jc w:val="both"/>
        <w:rPr>
          <w:rFonts w:ascii="Arial" w:eastAsia="Arial" w:hAnsi="Arial" w:cs="Arial"/>
          <w:color w:val="000000"/>
          <w:kern w:val="0"/>
          <w:sz w:val="24"/>
          <w:szCs w:val="24"/>
          <w:lang w:val="es-ES"/>
          <w14:ligatures w14:val="none"/>
        </w:rPr>
      </w:pPr>
    </w:p>
    <w:p w14:paraId="472A68E6" w14:textId="77777777" w:rsidR="0093626A" w:rsidRPr="00634580" w:rsidRDefault="00000000" w:rsidP="005915A7">
      <w:pPr>
        <w:spacing w:after="0" w:line="360" w:lineRule="auto"/>
        <w:ind w:firstLine="360"/>
        <w:jc w:val="both"/>
        <w:rPr>
          <w:rFonts w:ascii="Arial" w:eastAsia="Arial Unicode MS" w:hAnsi="Arial" w:cs="Arial"/>
          <w:kern w:val="0"/>
          <w:sz w:val="24"/>
          <w:szCs w:val="24"/>
          <w14:ligatures w14:val="none"/>
        </w:rPr>
      </w:pPr>
      <w:r>
        <w:rPr>
          <w:rFonts w:ascii="Arial" w:eastAsia="Arial" w:hAnsi="Arial" w:cs="Arial"/>
          <w:color w:val="000000"/>
          <w:kern w:val="0"/>
          <w:sz w:val="24"/>
          <w:szCs w:val="24"/>
          <w:lang w:val="es-ES"/>
          <w14:ligatures w14:val="none"/>
        </w:rPr>
        <w:t xml:space="preserve">Un trabajo como el presente se justifica, desde el punto de vista educativo, debido a la necesidad de revisar los verdaderos efectos que la globalización entraña como medio para la mejoría educativa y que, de momento, requiere analizarse. El período de pospandemia que la humanidad está enfrentando involucra a la educación con cambios que llegaron para quedarse y que ha requerido de la digitalización y el manejo </w:t>
      </w:r>
      <w:r>
        <w:rPr>
          <w:rFonts w:ascii="Arial" w:eastAsia="Arial" w:hAnsi="Arial" w:cs="Arial"/>
          <w:i/>
          <w:iCs/>
          <w:color w:val="000000"/>
          <w:kern w:val="0"/>
          <w:sz w:val="24"/>
          <w:szCs w:val="24"/>
          <w:lang w:val="es-ES"/>
          <w14:ligatures w14:val="none"/>
        </w:rPr>
        <w:t>on line</w:t>
      </w:r>
      <w:r>
        <w:rPr>
          <w:rFonts w:ascii="Arial" w:eastAsia="Arial" w:hAnsi="Arial" w:cs="Arial"/>
          <w:color w:val="000000"/>
          <w:kern w:val="0"/>
          <w:sz w:val="24"/>
          <w:szCs w:val="24"/>
          <w:lang w:val="es-ES"/>
          <w14:ligatures w14:val="none"/>
        </w:rPr>
        <w:t xml:space="preserve"> e híbrido de todas las actividades educativas (Corona-Figueroa y Campos-Tapia, 2021; Reimiers, 2021). Los alcances que mostraron los ajustes forzados por la pandemia han abierto, en cambio, posibilidades que anteriormente no se habían considerado y que, por la misma razón, remiten a reflexionar sobre su pertinencia y verdadera utilidad para el crecimiento de los implicados. </w:t>
      </w:r>
    </w:p>
    <w:p w14:paraId="41072B14" w14:textId="77777777" w:rsidR="0093626A" w:rsidRDefault="0093626A" w:rsidP="005915A7">
      <w:pPr>
        <w:spacing w:after="0" w:line="360" w:lineRule="auto"/>
        <w:ind w:firstLine="360"/>
        <w:jc w:val="both"/>
        <w:rPr>
          <w:rFonts w:ascii="Arial" w:eastAsia="Arial" w:hAnsi="Arial" w:cs="Arial"/>
          <w:color w:val="000000"/>
          <w:kern w:val="0"/>
          <w:sz w:val="24"/>
          <w:szCs w:val="24"/>
          <w:lang w:val="es-ES"/>
          <w14:ligatures w14:val="none"/>
        </w:rPr>
      </w:pPr>
    </w:p>
    <w:p w14:paraId="4B0C6AD8" w14:textId="77777777" w:rsidR="0093626A" w:rsidRPr="00634580" w:rsidRDefault="00000000" w:rsidP="005915A7">
      <w:pPr>
        <w:spacing w:after="0" w:line="360" w:lineRule="auto"/>
        <w:ind w:firstLine="360"/>
        <w:jc w:val="both"/>
        <w:rPr>
          <w:rFonts w:ascii="Arial" w:eastAsia="Arial Unicode MS" w:hAnsi="Arial" w:cs="Arial"/>
          <w:kern w:val="0"/>
          <w:sz w:val="24"/>
          <w:szCs w:val="24"/>
          <w14:ligatures w14:val="none"/>
        </w:rPr>
      </w:pPr>
      <w:r>
        <w:rPr>
          <w:rFonts w:ascii="Arial" w:eastAsia="Arial" w:hAnsi="Arial" w:cs="Arial"/>
          <w:color w:val="000000"/>
          <w:kern w:val="0"/>
          <w:sz w:val="24"/>
          <w:szCs w:val="24"/>
          <w:lang w:val="es-ES"/>
          <w14:ligatures w14:val="none"/>
        </w:rPr>
        <w:t xml:space="preserve">Esta investigación cualitativa se llevó a cabo en el período comprendido de junio a agosto de 2023 y comprende el planteamiento conceptual y teórico, además del trabajo de campo, consistente en una entrevista grupal a profesores de la Universidad Autónoma de Guadalajara según parámetros metodológicos que se definirán en apartados posteriores. </w:t>
      </w:r>
    </w:p>
    <w:p w14:paraId="366BAC5F" w14:textId="77777777" w:rsidR="0093626A" w:rsidRDefault="0093626A" w:rsidP="005915A7">
      <w:pPr>
        <w:spacing w:after="0" w:line="360" w:lineRule="auto"/>
        <w:ind w:firstLine="360"/>
        <w:jc w:val="both"/>
        <w:rPr>
          <w:rFonts w:ascii="Arial" w:eastAsia="Arial" w:hAnsi="Arial" w:cs="Arial"/>
          <w:color w:val="0070C0"/>
          <w:kern w:val="0"/>
          <w:sz w:val="24"/>
          <w:szCs w:val="24"/>
          <w:lang w:val="es-ES"/>
          <w14:ligatures w14:val="none"/>
        </w:rPr>
      </w:pPr>
    </w:p>
    <w:p w14:paraId="5BC0926D" w14:textId="77777777" w:rsidR="0093626A" w:rsidRDefault="00000000" w:rsidP="005915A7">
      <w:pPr>
        <w:spacing w:after="0" w:line="360" w:lineRule="auto"/>
        <w:ind w:firstLine="360"/>
        <w:jc w:val="both"/>
        <w:rPr>
          <w:rFonts w:ascii="Arial" w:eastAsia="Arial" w:hAnsi="Arial" w:cs="Arial"/>
          <w:b/>
          <w:bCs/>
          <w:kern w:val="0"/>
          <w:sz w:val="24"/>
          <w:szCs w:val="24"/>
          <w:lang w:val="es-ES"/>
          <w14:ligatures w14:val="none"/>
        </w:rPr>
      </w:pPr>
      <w:r>
        <w:rPr>
          <w:rFonts w:ascii="Arial" w:eastAsia="Arial" w:hAnsi="Arial" w:cs="Arial"/>
          <w:b/>
          <w:bCs/>
          <w:kern w:val="0"/>
          <w:sz w:val="24"/>
          <w:szCs w:val="24"/>
          <w:lang w:val="es-ES"/>
          <w14:ligatures w14:val="none"/>
        </w:rPr>
        <w:t xml:space="preserve">b. Bases teóricas </w:t>
      </w:r>
    </w:p>
    <w:p w14:paraId="05BE383E" w14:textId="77777777" w:rsidR="0093626A" w:rsidRPr="00634580" w:rsidRDefault="00000000" w:rsidP="005915A7">
      <w:pPr>
        <w:spacing w:after="0" w:line="360" w:lineRule="auto"/>
        <w:jc w:val="both"/>
        <w:rPr>
          <w:rFonts w:ascii="Arial" w:eastAsia="Arial Unicode MS" w:hAnsi="Arial" w:cs="Arial"/>
          <w:kern w:val="0"/>
          <w:sz w:val="24"/>
          <w:szCs w:val="24"/>
          <w14:ligatures w14:val="none"/>
        </w:rPr>
      </w:pPr>
      <w:r>
        <w:rPr>
          <w:rFonts w:ascii="Arial" w:eastAsia="Arial" w:hAnsi="Arial" w:cs="Arial"/>
          <w:i/>
          <w:iCs/>
          <w:color w:val="000000"/>
          <w:kern w:val="0"/>
          <w:sz w:val="24"/>
          <w:szCs w:val="24"/>
          <w:lang w:val="es-ES"/>
          <w14:ligatures w14:val="none"/>
        </w:rPr>
        <w:t>Marco conceptual</w:t>
      </w:r>
    </w:p>
    <w:p w14:paraId="6D80516D" w14:textId="77777777" w:rsidR="0093626A" w:rsidRPr="00634580" w:rsidRDefault="00000000" w:rsidP="005915A7">
      <w:pPr>
        <w:spacing w:after="0" w:line="360" w:lineRule="auto"/>
        <w:ind w:firstLine="360"/>
        <w:jc w:val="both"/>
        <w:rPr>
          <w:rFonts w:ascii="Arial" w:eastAsia="Arial Unicode MS" w:hAnsi="Arial" w:cs="Arial"/>
          <w:kern w:val="0"/>
          <w:sz w:val="24"/>
          <w:szCs w:val="24"/>
          <w14:ligatures w14:val="none"/>
        </w:rPr>
      </w:pPr>
      <w:r>
        <w:rPr>
          <w:rFonts w:ascii="Arial" w:eastAsia="Arial" w:hAnsi="Arial" w:cs="Arial"/>
          <w:color w:val="000000"/>
          <w:kern w:val="0"/>
          <w:sz w:val="24"/>
          <w:szCs w:val="24"/>
          <w:lang w:val="es-ES"/>
          <w14:ligatures w14:val="none"/>
        </w:rPr>
        <w:t>Para delimitar el trabajo se comenzará con la definición de algunos conceptos que se emplearán en diversos segmentos del texto y que conviene distinguir. El cuadro 1 enlista las características, que según Fernández y Ruzo (2002) contienen estos dos conceptos similares.</w:t>
      </w:r>
    </w:p>
    <w:p w14:paraId="6EC0B78F" w14:textId="77777777" w:rsidR="0093626A" w:rsidRDefault="00000000" w:rsidP="005915A7">
      <w:pPr>
        <w:spacing w:after="0" w:line="360" w:lineRule="auto"/>
        <w:ind w:firstLine="360"/>
        <w:jc w:val="both"/>
        <w:rPr>
          <w:rFonts w:ascii="Arial" w:eastAsia="Arial" w:hAnsi="Arial" w:cs="Arial"/>
          <w:color w:val="000000"/>
          <w:kern w:val="0"/>
          <w:sz w:val="24"/>
          <w:szCs w:val="24"/>
          <w:lang w:val="es-ES"/>
          <w14:ligatures w14:val="none"/>
        </w:rPr>
      </w:pPr>
      <w:r>
        <w:rPr>
          <w:rFonts w:ascii="Arial" w:eastAsia="Arial" w:hAnsi="Arial" w:cs="Arial"/>
          <w:color w:val="000000"/>
          <w:kern w:val="0"/>
          <w:sz w:val="24"/>
          <w:szCs w:val="24"/>
          <w:lang w:val="es-ES"/>
          <w14:ligatures w14:val="none"/>
        </w:rPr>
        <w:t xml:space="preserve">   </w:t>
      </w:r>
    </w:p>
    <w:tbl>
      <w:tblPr>
        <w:tblStyle w:val="Tablaconcuadrcula1"/>
        <w:tblW w:w="0" w:type="auto"/>
        <w:tblLayout w:type="fixed"/>
        <w:tblLook w:val="04A0" w:firstRow="1" w:lastRow="0" w:firstColumn="1" w:lastColumn="0" w:noHBand="0" w:noVBand="1"/>
      </w:tblPr>
      <w:tblGrid>
        <w:gridCol w:w="4680"/>
        <w:gridCol w:w="4680"/>
      </w:tblGrid>
      <w:tr w:rsidR="0093626A" w14:paraId="42AA7D07" w14:textId="77777777">
        <w:trPr>
          <w:trHeight w:val="300"/>
        </w:trPr>
        <w:tc>
          <w:tcPr>
            <w:tcW w:w="9360" w:type="dxa"/>
            <w:gridSpan w:val="2"/>
            <w:tcBorders>
              <w:top w:val="nil"/>
              <w:left w:val="nil"/>
              <w:bottom w:val="single" w:sz="8" w:space="0" w:color="auto"/>
              <w:right w:val="nil"/>
            </w:tcBorders>
            <w:tcMar>
              <w:left w:w="108" w:type="dxa"/>
              <w:right w:w="108" w:type="dxa"/>
            </w:tcMar>
          </w:tcPr>
          <w:p w14:paraId="724ED79E" w14:textId="77777777" w:rsidR="0093626A" w:rsidRPr="00634580" w:rsidRDefault="00000000" w:rsidP="00634580">
            <w:pPr>
              <w:spacing w:after="0" w:line="360" w:lineRule="auto"/>
              <w:jc w:val="both"/>
              <w:rPr>
                <w:rFonts w:ascii="Arial" w:hAnsi="Arial" w:cs="Arial"/>
                <w:kern w:val="0"/>
                <w:sz w:val="24"/>
                <w:szCs w:val="24"/>
                <w:lang w:eastAsia="es-MX"/>
                <w14:ligatures w14:val="none"/>
              </w:rPr>
            </w:pPr>
            <w:r w:rsidRPr="00634580">
              <w:rPr>
                <w:rFonts w:ascii="Arial" w:eastAsia="Arial" w:hAnsi="Arial" w:cs="Arial"/>
                <w:color w:val="000000"/>
                <w:kern w:val="0"/>
                <w:sz w:val="24"/>
                <w:szCs w:val="24"/>
                <w:lang w:eastAsia="es-MX"/>
                <w14:ligatures w14:val="none"/>
              </w:rPr>
              <w:t>Cuadro 1</w:t>
            </w:r>
          </w:p>
          <w:p w14:paraId="55B2AD2D" w14:textId="77777777" w:rsidR="0093626A" w:rsidRPr="00634580" w:rsidRDefault="00000000" w:rsidP="00634580">
            <w:pPr>
              <w:spacing w:after="0" w:line="360" w:lineRule="auto"/>
              <w:jc w:val="both"/>
              <w:rPr>
                <w:rFonts w:ascii="Arial" w:hAnsi="Arial" w:cs="Arial"/>
                <w:kern w:val="0"/>
                <w:sz w:val="24"/>
                <w:szCs w:val="24"/>
                <w:lang w:eastAsia="es-MX"/>
                <w14:ligatures w14:val="none"/>
              </w:rPr>
            </w:pPr>
            <w:r w:rsidRPr="00634580">
              <w:rPr>
                <w:rFonts w:ascii="Arial" w:eastAsia="Arial" w:hAnsi="Arial" w:cs="Arial"/>
                <w:i/>
                <w:iCs/>
                <w:color w:val="000000"/>
                <w:kern w:val="0"/>
                <w:sz w:val="24"/>
                <w:szCs w:val="24"/>
                <w:lang w:eastAsia="es-MX"/>
                <w14:ligatures w14:val="none"/>
              </w:rPr>
              <w:t>Diferencias entre globalización e internacionalización</w:t>
            </w:r>
          </w:p>
        </w:tc>
      </w:tr>
      <w:tr w:rsidR="0093626A" w14:paraId="5F987193" w14:textId="77777777">
        <w:trPr>
          <w:trHeight w:val="300"/>
        </w:trPr>
        <w:tc>
          <w:tcPr>
            <w:tcW w:w="4680" w:type="dxa"/>
            <w:tcBorders>
              <w:top w:val="single" w:sz="8" w:space="0" w:color="auto"/>
              <w:left w:val="nil"/>
              <w:bottom w:val="single" w:sz="4" w:space="0" w:color="auto"/>
              <w:right w:val="nil"/>
            </w:tcBorders>
            <w:tcMar>
              <w:left w:w="108" w:type="dxa"/>
              <w:right w:w="108" w:type="dxa"/>
            </w:tcMar>
          </w:tcPr>
          <w:p w14:paraId="218B3BAE" w14:textId="77777777" w:rsidR="0093626A" w:rsidRPr="00634580" w:rsidRDefault="00000000" w:rsidP="00634580">
            <w:pPr>
              <w:spacing w:after="0" w:line="360" w:lineRule="auto"/>
              <w:jc w:val="center"/>
              <w:rPr>
                <w:rFonts w:ascii="Arial" w:hAnsi="Arial" w:cs="Arial"/>
                <w:kern w:val="0"/>
                <w:sz w:val="24"/>
                <w:szCs w:val="24"/>
                <w:lang w:val="en-US" w:eastAsia="es-MX"/>
                <w14:ligatures w14:val="none"/>
              </w:rPr>
            </w:pPr>
            <w:r w:rsidRPr="00634580">
              <w:rPr>
                <w:rFonts w:ascii="Arial" w:eastAsia="Arial" w:hAnsi="Arial" w:cs="Arial"/>
                <w:color w:val="000000"/>
                <w:kern w:val="0"/>
                <w:sz w:val="24"/>
                <w:szCs w:val="24"/>
                <w:lang w:val="en-US" w:eastAsia="es-MX"/>
                <w14:ligatures w14:val="none"/>
              </w:rPr>
              <w:t>INTERNACIONALIZACIÓN</w:t>
            </w:r>
          </w:p>
        </w:tc>
        <w:tc>
          <w:tcPr>
            <w:tcW w:w="4680" w:type="dxa"/>
            <w:tcBorders>
              <w:top w:val="nil"/>
              <w:left w:val="nil"/>
              <w:bottom w:val="single" w:sz="4" w:space="0" w:color="auto"/>
              <w:right w:val="nil"/>
            </w:tcBorders>
            <w:tcMar>
              <w:left w:w="108" w:type="dxa"/>
              <w:right w:w="108" w:type="dxa"/>
            </w:tcMar>
          </w:tcPr>
          <w:p w14:paraId="757D3648" w14:textId="77777777" w:rsidR="0093626A" w:rsidRPr="00634580" w:rsidRDefault="00000000" w:rsidP="00634580">
            <w:pPr>
              <w:spacing w:after="0" w:line="360" w:lineRule="auto"/>
              <w:jc w:val="center"/>
              <w:rPr>
                <w:rFonts w:ascii="Arial" w:hAnsi="Arial" w:cs="Arial"/>
                <w:kern w:val="0"/>
                <w:sz w:val="24"/>
                <w:szCs w:val="24"/>
                <w:lang w:val="en-US" w:eastAsia="es-MX"/>
                <w14:ligatures w14:val="none"/>
              </w:rPr>
            </w:pPr>
            <w:r w:rsidRPr="00634580">
              <w:rPr>
                <w:rFonts w:ascii="Arial" w:eastAsia="Arial" w:hAnsi="Arial" w:cs="Arial"/>
                <w:color w:val="000000"/>
                <w:kern w:val="0"/>
                <w:sz w:val="24"/>
                <w:szCs w:val="24"/>
                <w:lang w:val="en-US" w:eastAsia="es-MX"/>
                <w14:ligatures w14:val="none"/>
              </w:rPr>
              <w:t>GLOBALIZACIÓN</w:t>
            </w:r>
          </w:p>
        </w:tc>
      </w:tr>
      <w:tr w:rsidR="0093626A" w14:paraId="0BBA8246" w14:textId="77777777">
        <w:trPr>
          <w:trHeight w:val="300"/>
        </w:trPr>
        <w:tc>
          <w:tcPr>
            <w:tcW w:w="4680" w:type="dxa"/>
            <w:tcBorders>
              <w:top w:val="single" w:sz="4" w:space="0" w:color="auto"/>
              <w:left w:val="nil"/>
              <w:bottom w:val="single" w:sz="4" w:space="0" w:color="auto"/>
              <w:right w:val="nil"/>
            </w:tcBorders>
            <w:tcMar>
              <w:left w:w="108" w:type="dxa"/>
              <w:right w:w="108" w:type="dxa"/>
            </w:tcMar>
          </w:tcPr>
          <w:p w14:paraId="7649F355" w14:textId="77777777" w:rsidR="0093626A" w:rsidRPr="00634580" w:rsidRDefault="00000000" w:rsidP="00634580">
            <w:pPr>
              <w:spacing w:after="0" w:line="360" w:lineRule="auto"/>
              <w:jc w:val="both"/>
              <w:rPr>
                <w:rFonts w:ascii="Arial" w:hAnsi="Arial" w:cs="Arial"/>
                <w:kern w:val="0"/>
                <w:sz w:val="24"/>
                <w:szCs w:val="24"/>
                <w:lang w:eastAsia="es-MX"/>
                <w14:ligatures w14:val="none"/>
              </w:rPr>
            </w:pPr>
            <w:r w:rsidRPr="00634580">
              <w:rPr>
                <w:rFonts w:ascii="Arial" w:eastAsia="Arial" w:hAnsi="Arial" w:cs="Arial"/>
                <w:color w:val="000000"/>
                <w:kern w:val="0"/>
                <w:sz w:val="24"/>
                <w:szCs w:val="24"/>
                <w:lang w:eastAsia="es-MX"/>
                <w14:ligatures w14:val="none"/>
              </w:rPr>
              <w:t>Parte de un mundo con fronteras geopolíticas que se superan con actividades de intercambio académico (profesorado, estudiantado, investigación)</w:t>
            </w:r>
          </w:p>
        </w:tc>
        <w:tc>
          <w:tcPr>
            <w:tcW w:w="4680" w:type="dxa"/>
            <w:tcBorders>
              <w:top w:val="single" w:sz="4" w:space="0" w:color="auto"/>
              <w:left w:val="nil"/>
              <w:bottom w:val="single" w:sz="4" w:space="0" w:color="auto"/>
              <w:right w:val="nil"/>
            </w:tcBorders>
            <w:tcMar>
              <w:left w:w="108" w:type="dxa"/>
              <w:right w:w="108" w:type="dxa"/>
            </w:tcMar>
          </w:tcPr>
          <w:p w14:paraId="0E090968" w14:textId="77777777" w:rsidR="0093626A" w:rsidRPr="00634580" w:rsidRDefault="00000000" w:rsidP="00634580">
            <w:pPr>
              <w:spacing w:after="0" w:line="360" w:lineRule="auto"/>
              <w:jc w:val="both"/>
              <w:rPr>
                <w:rFonts w:ascii="Arial" w:hAnsi="Arial" w:cs="Arial"/>
                <w:kern w:val="0"/>
                <w:sz w:val="24"/>
                <w:szCs w:val="24"/>
                <w:lang w:eastAsia="es-MX"/>
                <w14:ligatures w14:val="none"/>
              </w:rPr>
            </w:pPr>
            <w:r w:rsidRPr="00634580">
              <w:rPr>
                <w:rFonts w:ascii="Arial" w:eastAsia="Arial" w:hAnsi="Arial" w:cs="Arial"/>
                <w:color w:val="000000"/>
                <w:kern w:val="0"/>
                <w:sz w:val="24"/>
                <w:szCs w:val="24"/>
                <w:lang w:eastAsia="es-MX"/>
                <w14:ligatures w14:val="none"/>
              </w:rPr>
              <w:t xml:space="preserve">No apoya la idea de un mundo de estados con fronteras definidas. </w:t>
            </w:r>
          </w:p>
        </w:tc>
      </w:tr>
      <w:tr w:rsidR="0093626A" w14:paraId="18A97273" w14:textId="77777777">
        <w:trPr>
          <w:trHeight w:val="300"/>
        </w:trPr>
        <w:tc>
          <w:tcPr>
            <w:tcW w:w="4680" w:type="dxa"/>
            <w:tcBorders>
              <w:top w:val="single" w:sz="4" w:space="0" w:color="auto"/>
              <w:left w:val="nil"/>
              <w:bottom w:val="single" w:sz="4" w:space="0" w:color="auto"/>
              <w:right w:val="nil"/>
            </w:tcBorders>
            <w:tcMar>
              <w:left w:w="108" w:type="dxa"/>
              <w:right w:w="108" w:type="dxa"/>
            </w:tcMar>
          </w:tcPr>
          <w:p w14:paraId="0D246058" w14:textId="77777777" w:rsidR="0093626A" w:rsidRPr="00634580" w:rsidRDefault="00000000" w:rsidP="00634580">
            <w:pPr>
              <w:spacing w:after="0" w:line="360" w:lineRule="auto"/>
              <w:jc w:val="both"/>
              <w:rPr>
                <w:rFonts w:ascii="Arial" w:hAnsi="Arial" w:cs="Arial"/>
                <w:kern w:val="0"/>
                <w:sz w:val="24"/>
                <w:szCs w:val="24"/>
                <w:lang w:eastAsia="es-MX"/>
                <w14:ligatures w14:val="none"/>
              </w:rPr>
            </w:pPr>
            <w:r w:rsidRPr="00634580">
              <w:rPr>
                <w:rFonts w:ascii="Arial" w:eastAsia="Arial" w:hAnsi="Arial" w:cs="Arial"/>
                <w:color w:val="000000"/>
                <w:kern w:val="0"/>
                <w:sz w:val="24"/>
                <w:szCs w:val="24"/>
                <w:lang w:eastAsia="es-MX"/>
                <w14:ligatures w14:val="none"/>
              </w:rPr>
              <w:t>Surge de convenios gubernamentales, se apoya en la diplomacia y dicta normativas controladas verticalmente.</w:t>
            </w:r>
          </w:p>
        </w:tc>
        <w:tc>
          <w:tcPr>
            <w:tcW w:w="4680" w:type="dxa"/>
            <w:tcBorders>
              <w:top w:val="single" w:sz="4" w:space="0" w:color="auto"/>
              <w:left w:val="nil"/>
              <w:bottom w:val="single" w:sz="4" w:space="0" w:color="auto"/>
              <w:right w:val="nil"/>
            </w:tcBorders>
            <w:tcMar>
              <w:left w:w="108" w:type="dxa"/>
              <w:right w:w="108" w:type="dxa"/>
            </w:tcMar>
          </w:tcPr>
          <w:p w14:paraId="4790CA30" w14:textId="77777777" w:rsidR="0093626A" w:rsidRPr="00634580" w:rsidRDefault="00000000" w:rsidP="00634580">
            <w:pPr>
              <w:spacing w:after="0" w:line="360" w:lineRule="auto"/>
              <w:jc w:val="both"/>
              <w:rPr>
                <w:rFonts w:ascii="Arial" w:hAnsi="Arial" w:cs="Arial"/>
                <w:kern w:val="0"/>
                <w:sz w:val="24"/>
                <w:szCs w:val="24"/>
                <w:lang w:val="en-US" w:eastAsia="es-MX"/>
                <w14:ligatures w14:val="none"/>
              </w:rPr>
            </w:pPr>
            <w:r w:rsidRPr="00634580">
              <w:rPr>
                <w:rFonts w:ascii="Arial" w:eastAsia="Arial" w:hAnsi="Arial" w:cs="Arial"/>
                <w:color w:val="000000"/>
                <w:kern w:val="0"/>
                <w:sz w:val="24"/>
                <w:szCs w:val="24"/>
                <w:lang w:eastAsia="es-MX"/>
                <w14:ligatures w14:val="none"/>
              </w:rPr>
              <w:t xml:space="preserve">Apoyada en una difusión masiva, ofrece al interesado alternativas diversas sobre las cuales el estado tiene poco control. </w:t>
            </w:r>
            <w:r w:rsidRPr="00634580">
              <w:rPr>
                <w:rFonts w:ascii="Arial" w:eastAsia="Arial" w:hAnsi="Arial" w:cs="Arial"/>
                <w:color w:val="000000"/>
                <w:kern w:val="0"/>
                <w:sz w:val="24"/>
                <w:szCs w:val="24"/>
                <w:lang w:val="en-US" w:eastAsia="es-MX"/>
                <w14:ligatures w14:val="none"/>
              </w:rPr>
              <w:t xml:space="preserve">Incluye la oferta virtual y a distancia. </w:t>
            </w:r>
          </w:p>
        </w:tc>
      </w:tr>
      <w:tr w:rsidR="0093626A" w14:paraId="2B582333" w14:textId="77777777">
        <w:trPr>
          <w:trHeight w:val="808"/>
        </w:trPr>
        <w:tc>
          <w:tcPr>
            <w:tcW w:w="4680" w:type="dxa"/>
            <w:tcBorders>
              <w:top w:val="single" w:sz="4" w:space="0" w:color="auto"/>
              <w:left w:val="nil"/>
              <w:bottom w:val="single" w:sz="4" w:space="0" w:color="auto"/>
              <w:right w:val="nil"/>
            </w:tcBorders>
            <w:tcMar>
              <w:left w:w="108" w:type="dxa"/>
              <w:right w:w="108" w:type="dxa"/>
            </w:tcMar>
          </w:tcPr>
          <w:p w14:paraId="3798658B" w14:textId="77777777" w:rsidR="0093626A" w:rsidRPr="00634580" w:rsidRDefault="00000000" w:rsidP="00634580">
            <w:pPr>
              <w:spacing w:after="0" w:line="360" w:lineRule="auto"/>
              <w:jc w:val="both"/>
              <w:rPr>
                <w:rFonts w:ascii="Arial" w:hAnsi="Arial" w:cs="Arial"/>
                <w:kern w:val="0"/>
                <w:sz w:val="24"/>
                <w:szCs w:val="24"/>
                <w:lang w:eastAsia="es-MX"/>
                <w14:ligatures w14:val="none"/>
              </w:rPr>
            </w:pPr>
            <w:r w:rsidRPr="00634580">
              <w:rPr>
                <w:rFonts w:ascii="Arial" w:eastAsia="Arial" w:hAnsi="Arial" w:cs="Arial"/>
                <w:color w:val="000000"/>
                <w:kern w:val="0"/>
                <w:sz w:val="24"/>
                <w:szCs w:val="24"/>
                <w:lang w:eastAsia="es-MX"/>
                <w14:ligatures w14:val="none"/>
              </w:rPr>
              <w:t xml:space="preserve">Tiende a reproducir la jerarquía y la hegemonía, por lo que atrae a estudiantes de países sobre los que se ha tenido influencia. </w:t>
            </w:r>
          </w:p>
          <w:p w14:paraId="6C7C4F13" w14:textId="77777777" w:rsidR="0093626A" w:rsidRPr="00634580" w:rsidRDefault="00000000" w:rsidP="00634580">
            <w:pPr>
              <w:spacing w:after="0" w:line="360" w:lineRule="auto"/>
              <w:jc w:val="both"/>
              <w:rPr>
                <w:rFonts w:ascii="Arial" w:hAnsi="Arial" w:cs="Arial"/>
                <w:kern w:val="0"/>
                <w:sz w:val="24"/>
                <w:szCs w:val="24"/>
                <w:lang w:eastAsia="es-MX"/>
                <w14:ligatures w14:val="none"/>
              </w:rPr>
            </w:pPr>
            <w:r w:rsidRPr="00634580">
              <w:rPr>
                <w:rFonts w:ascii="Arial" w:eastAsia="Arial" w:hAnsi="Arial" w:cs="Arial"/>
                <w:color w:val="000000"/>
                <w:kern w:val="0"/>
                <w:sz w:val="24"/>
                <w:szCs w:val="24"/>
                <w:lang w:eastAsia="es-MX"/>
                <w14:ligatures w14:val="none"/>
              </w:rPr>
              <w:t xml:space="preserve"> </w:t>
            </w:r>
          </w:p>
        </w:tc>
        <w:tc>
          <w:tcPr>
            <w:tcW w:w="4680" w:type="dxa"/>
            <w:tcBorders>
              <w:top w:val="single" w:sz="4" w:space="0" w:color="auto"/>
              <w:left w:val="nil"/>
              <w:bottom w:val="single" w:sz="4" w:space="0" w:color="auto"/>
              <w:right w:val="nil"/>
            </w:tcBorders>
            <w:tcMar>
              <w:left w:w="108" w:type="dxa"/>
              <w:right w:w="108" w:type="dxa"/>
            </w:tcMar>
          </w:tcPr>
          <w:p w14:paraId="77F273FA" w14:textId="77777777" w:rsidR="0093626A" w:rsidRPr="00634580" w:rsidRDefault="00000000" w:rsidP="00634580">
            <w:pPr>
              <w:spacing w:after="0" w:line="360" w:lineRule="auto"/>
              <w:jc w:val="both"/>
              <w:rPr>
                <w:rFonts w:ascii="Arial" w:hAnsi="Arial" w:cs="Arial"/>
                <w:kern w:val="0"/>
                <w:sz w:val="24"/>
                <w:szCs w:val="24"/>
                <w:lang w:eastAsia="es-MX"/>
                <w14:ligatures w14:val="none"/>
              </w:rPr>
            </w:pPr>
            <w:r w:rsidRPr="00634580">
              <w:rPr>
                <w:rFonts w:ascii="Arial" w:eastAsia="Arial" w:hAnsi="Arial" w:cs="Arial"/>
                <w:color w:val="000000"/>
                <w:kern w:val="0"/>
                <w:sz w:val="24"/>
                <w:szCs w:val="24"/>
                <w:lang w:eastAsia="es-MX"/>
                <w14:ligatures w14:val="none"/>
              </w:rPr>
              <w:t xml:space="preserve">A través de la red, elimina barreras rígidas de hegemonía y poder económico y se pone al alcance de un mayor número de personas. </w:t>
            </w:r>
          </w:p>
        </w:tc>
      </w:tr>
      <w:tr w:rsidR="0093626A" w14:paraId="57DB6304" w14:textId="77777777">
        <w:trPr>
          <w:trHeight w:val="775"/>
        </w:trPr>
        <w:tc>
          <w:tcPr>
            <w:tcW w:w="4680" w:type="dxa"/>
            <w:tcBorders>
              <w:top w:val="single" w:sz="4" w:space="0" w:color="auto"/>
              <w:left w:val="nil"/>
              <w:bottom w:val="single" w:sz="4" w:space="0" w:color="auto"/>
              <w:right w:val="nil"/>
            </w:tcBorders>
            <w:tcMar>
              <w:left w:w="108" w:type="dxa"/>
              <w:right w:w="108" w:type="dxa"/>
            </w:tcMar>
          </w:tcPr>
          <w:p w14:paraId="6F4B2C39" w14:textId="77777777" w:rsidR="0093626A" w:rsidRPr="00634580" w:rsidRDefault="00000000" w:rsidP="00634580">
            <w:pPr>
              <w:spacing w:after="0" w:line="360" w:lineRule="auto"/>
              <w:jc w:val="both"/>
              <w:rPr>
                <w:rFonts w:ascii="Arial" w:hAnsi="Arial" w:cs="Arial"/>
                <w:kern w:val="0"/>
                <w:sz w:val="24"/>
                <w:szCs w:val="24"/>
                <w:lang w:eastAsia="es-MX"/>
                <w14:ligatures w14:val="none"/>
              </w:rPr>
            </w:pPr>
            <w:r w:rsidRPr="00634580">
              <w:rPr>
                <w:rFonts w:ascii="Arial" w:eastAsia="Arial" w:hAnsi="Arial" w:cs="Arial"/>
                <w:color w:val="000000"/>
                <w:kern w:val="0"/>
                <w:sz w:val="24"/>
                <w:szCs w:val="24"/>
                <w:lang w:eastAsia="es-MX"/>
                <w14:ligatures w14:val="none"/>
              </w:rPr>
              <w:t xml:space="preserve">Deseablemente se basa en una perspectiva altruista y de cooperación. </w:t>
            </w:r>
          </w:p>
        </w:tc>
        <w:tc>
          <w:tcPr>
            <w:tcW w:w="4680" w:type="dxa"/>
            <w:tcBorders>
              <w:top w:val="single" w:sz="4" w:space="0" w:color="auto"/>
              <w:left w:val="nil"/>
              <w:bottom w:val="single" w:sz="4" w:space="0" w:color="auto"/>
              <w:right w:val="nil"/>
            </w:tcBorders>
            <w:tcMar>
              <w:left w:w="108" w:type="dxa"/>
              <w:right w:w="108" w:type="dxa"/>
            </w:tcMar>
          </w:tcPr>
          <w:p w14:paraId="31EC7899" w14:textId="77777777" w:rsidR="0093626A" w:rsidRPr="00634580" w:rsidRDefault="00000000" w:rsidP="00634580">
            <w:pPr>
              <w:spacing w:after="0" w:line="360" w:lineRule="auto"/>
              <w:jc w:val="both"/>
              <w:rPr>
                <w:rFonts w:ascii="Arial" w:eastAsia="Arial" w:hAnsi="Arial" w:cs="Arial"/>
                <w:color w:val="000000"/>
                <w:kern w:val="0"/>
                <w:sz w:val="24"/>
                <w:szCs w:val="24"/>
                <w:lang w:eastAsia="es-MX"/>
                <w14:ligatures w14:val="none"/>
              </w:rPr>
            </w:pPr>
            <w:r w:rsidRPr="00634580">
              <w:rPr>
                <w:rFonts w:ascii="Arial" w:eastAsia="Arial" w:hAnsi="Arial" w:cs="Arial"/>
                <w:color w:val="000000"/>
                <w:kern w:val="0"/>
                <w:sz w:val="24"/>
                <w:szCs w:val="24"/>
                <w:lang w:eastAsia="es-MX"/>
                <w14:ligatures w14:val="none"/>
              </w:rPr>
              <w:t xml:space="preserve">Por definición, su motor es el beneficio que sólo se consigue a través de la competitividad. </w:t>
            </w:r>
          </w:p>
        </w:tc>
      </w:tr>
      <w:tr w:rsidR="0093626A" w14:paraId="44558271" w14:textId="77777777">
        <w:trPr>
          <w:trHeight w:val="300"/>
        </w:trPr>
        <w:tc>
          <w:tcPr>
            <w:tcW w:w="4680" w:type="dxa"/>
            <w:tcBorders>
              <w:top w:val="single" w:sz="4" w:space="0" w:color="auto"/>
              <w:left w:val="nil"/>
              <w:bottom w:val="single" w:sz="4" w:space="0" w:color="auto"/>
              <w:right w:val="nil"/>
            </w:tcBorders>
            <w:tcMar>
              <w:left w:w="108" w:type="dxa"/>
              <w:right w:w="108" w:type="dxa"/>
            </w:tcMar>
          </w:tcPr>
          <w:p w14:paraId="16727DB4" w14:textId="77777777" w:rsidR="0093626A" w:rsidRPr="00634580" w:rsidRDefault="00000000" w:rsidP="00634580">
            <w:pPr>
              <w:spacing w:after="0" w:line="360" w:lineRule="auto"/>
              <w:jc w:val="both"/>
              <w:rPr>
                <w:rFonts w:ascii="Arial" w:eastAsia="Arial" w:hAnsi="Arial" w:cs="Arial"/>
                <w:color w:val="000000"/>
                <w:kern w:val="0"/>
                <w:sz w:val="24"/>
                <w:szCs w:val="24"/>
                <w:lang w:eastAsia="es-MX"/>
                <w14:ligatures w14:val="none"/>
              </w:rPr>
            </w:pPr>
            <w:r w:rsidRPr="00634580">
              <w:rPr>
                <w:rFonts w:ascii="Arial" w:eastAsia="Arial" w:hAnsi="Arial" w:cs="Arial"/>
                <w:color w:val="000000"/>
                <w:kern w:val="0"/>
                <w:sz w:val="24"/>
                <w:szCs w:val="24"/>
                <w:lang w:eastAsia="es-MX"/>
                <w14:ligatures w14:val="none"/>
              </w:rPr>
              <w:t xml:space="preserve">Tradicionalmente ha existido a lo largo de la historia y ha representado una actividad agradable para las universidades. </w:t>
            </w:r>
          </w:p>
        </w:tc>
        <w:tc>
          <w:tcPr>
            <w:tcW w:w="4680" w:type="dxa"/>
            <w:tcBorders>
              <w:top w:val="single" w:sz="4" w:space="0" w:color="auto"/>
              <w:left w:val="nil"/>
              <w:bottom w:val="single" w:sz="4" w:space="0" w:color="auto"/>
              <w:right w:val="nil"/>
            </w:tcBorders>
            <w:tcMar>
              <w:left w:w="108" w:type="dxa"/>
              <w:right w:w="108" w:type="dxa"/>
            </w:tcMar>
          </w:tcPr>
          <w:p w14:paraId="414D0F6C" w14:textId="77777777" w:rsidR="0093626A" w:rsidRPr="00634580" w:rsidRDefault="00000000" w:rsidP="00634580">
            <w:pPr>
              <w:spacing w:after="0" w:line="360" w:lineRule="auto"/>
              <w:jc w:val="both"/>
              <w:rPr>
                <w:rFonts w:ascii="Arial" w:hAnsi="Arial" w:cs="Arial"/>
                <w:kern w:val="0"/>
                <w:sz w:val="24"/>
                <w:szCs w:val="24"/>
                <w:lang w:eastAsia="es-MX"/>
                <w14:ligatures w14:val="none"/>
              </w:rPr>
            </w:pPr>
            <w:r w:rsidRPr="00634580">
              <w:rPr>
                <w:rFonts w:ascii="Arial" w:eastAsia="Arial" w:hAnsi="Arial" w:cs="Arial"/>
                <w:color w:val="000000"/>
                <w:kern w:val="0"/>
                <w:sz w:val="24"/>
                <w:szCs w:val="24"/>
                <w:lang w:eastAsia="es-MX"/>
                <w14:ligatures w14:val="none"/>
              </w:rPr>
              <w:t xml:space="preserve">Se sitúa en la época moderna, a partir de la revolución industrial y se constituye como algo novedoso y dinámico. </w:t>
            </w:r>
          </w:p>
        </w:tc>
      </w:tr>
      <w:tr w:rsidR="0093626A" w14:paraId="197BFDA5" w14:textId="77777777">
        <w:trPr>
          <w:trHeight w:val="105"/>
        </w:trPr>
        <w:tc>
          <w:tcPr>
            <w:tcW w:w="4680" w:type="dxa"/>
            <w:tcBorders>
              <w:top w:val="single" w:sz="4" w:space="0" w:color="auto"/>
              <w:left w:val="nil"/>
              <w:bottom w:val="nil"/>
              <w:right w:val="nil"/>
            </w:tcBorders>
            <w:tcMar>
              <w:left w:w="108" w:type="dxa"/>
              <w:right w:w="108" w:type="dxa"/>
            </w:tcMar>
          </w:tcPr>
          <w:p w14:paraId="1F7A0B95" w14:textId="77777777" w:rsidR="0093626A" w:rsidRDefault="00000000" w:rsidP="00634580">
            <w:pPr>
              <w:spacing w:after="0" w:line="360" w:lineRule="auto"/>
              <w:jc w:val="both"/>
              <w:rPr>
                <w:rFonts w:ascii="Arial" w:eastAsia="Arial" w:hAnsi="Arial" w:cs="Arial"/>
                <w:color w:val="000000"/>
                <w:kern w:val="0"/>
                <w:sz w:val="20"/>
                <w:szCs w:val="20"/>
                <w:lang w:val="en-US" w:eastAsia="es-MX"/>
                <w14:ligatures w14:val="none"/>
              </w:rPr>
            </w:pPr>
            <w:r>
              <w:rPr>
                <w:rFonts w:ascii="Arial" w:eastAsia="Arial" w:hAnsi="Arial" w:cs="Arial"/>
                <w:i/>
                <w:iCs/>
                <w:color w:val="000000"/>
                <w:kern w:val="0"/>
                <w:sz w:val="20"/>
                <w:szCs w:val="20"/>
                <w:lang w:val="en-US" w:eastAsia="es-MX"/>
                <w14:ligatures w14:val="none"/>
              </w:rPr>
              <w:t>Fuente</w:t>
            </w:r>
            <w:r>
              <w:rPr>
                <w:rFonts w:ascii="Arial" w:eastAsia="Arial" w:hAnsi="Arial" w:cs="Arial"/>
                <w:color w:val="000000"/>
                <w:kern w:val="0"/>
                <w:sz w:val="20"/>
                <w:szCs w:val="20"/>
                <w:lang w:val="en-US" w:eastAsia="es-MX"/>
                <w14:ligatures w14:val="none"/>
              </w:rPr>
              <w:t>: Fernández y Ruzo (2002)</w:t>
            </w:r>
          </w:p>
          <w:p w14:paraId="281B2780" w14:textId="77777777" w:rsidR="0093626A" w:rsidRDefault="0093626A" w:rsidP="00634580">
            <w:pPr>
              <w:spacing w:after="0" w:line="360" w:lineRule="auto"/>
              <w:jc w:val="both"/>
              <w:rPr>
                <w:rFonts w:ascii="Arial" w:eastAsia="Arial" w:hAnsi="Arial" w:cs="Arial"/>
                <w:color w:val="000000"/>
                <w:kern w:val="0"/>
                <w:sz w:val="20"/>
                <w:szCs w:val="20"/>
                <w:lang w:val="en-US" w:eastAsia="es-MX"/>
                <w14:ligatures w14:val="none"/>
              </w:rPr>
            </w:pPr>
          </w:p>
          <w:p w14:paraId="34C72135" w14:textId="77777777" w:rsidR="0093626A" w:rsidRPr="00634580" w:rsidRDefault="0093626A" w:rsidP="00634580">
            <w:pPr>
              <w:spacing w:after="0" w:line="360" w:lineRule="auto"/>
              <w:jc w:val="both"/>
              <w:rPr>
                <w:rFonts w:ascii="Arial" w:eastAsia="Arial" w:hAnsi="Arial" w:cs="Arial"/>
                <w:color w:val="000000"/>
                <w:kern w:val="0"/>
                <w:sz w:val="24"/>
                <w:szCs w:val="24"/>
                <w:lang w:val="en-US" w:eastAsia="es-MX"/>
                <w14:ligatures w14:val="none"/>
              </w:rPr>
            </w:pPr>
          </w:p>
        </w:tc>
        <w:tc>
          <w:tcPr>
            <w:tcW w:w="4680" w:type="dxa"/>
            <w:tcBorders>
              <w:top w:val="single" w:sz="4" w:space="0" w:color="auto"/>
              <w:left w:val="nil"/>
              <w:bottom w:val="nil"/>
              <w:right w:val="nil"/>
            </w:tcBorders>
            <w:tcMar>
              <w:left w:w="108" w:type="dxa"/>
              <w:right w:w="108" w:type="dxa"/>
            </w:tcMar>
          </w:tcPr>
          <w:p w14:paraId="5651C193" w14:textId="77777777" w:rsidR="0093626A" w:rsidRPr="00634580" w:rsidRDefault="00000000" w:rsidP="00634580">
            <w:pPr>
              <w:spacing w:after="0" w:line="360" w:lineRule="auto"/>
              <w:jc w:val="both"/>
              <w:rPr>
                <w:rFonts w:ascii="Arial" w:hAnsi="Arial" w:cs="Arial"/>
                <w:kern w:val="0"/>
                <w:sz w:val="24"/>
                <w:szCs w:val="24"/>
                <w:lang w:val="en-US" w:eastAsia="es-MX"/>
                <w14:ligatures w14:val="none"/>
              </w:rPr>
            </w:pPr>
            <w:r w:rsidRPr="00634580">
              <w:rPr>
                <w:rFonts w:ascii="Arial" w:hAnsi="Arial" w:cs="Arial"/>
                <w:color w:val="000000"/>
                <w:kern w:val="0"/>
                <w:sz w:val="24"/>
                <w:szCs w:val="24"/>
                <w:lang w:val="en-US" w:eastAsia="es-MX"/>
                <w14:ligatures w14:val="none"/>
              </w:rPr>
              <w:lastRenderedPageBreak/>
              <w:t xml:space="preserve"> </w:t>
            </w:r>
          </w:p>
        </w:tc>
      </w:tr>
    </w:tbl>
    <w:p w14:paraId="44BE633B" w14:textId="77777777" w:rsidR="0093626A" w:rsidRPr="00634580" w:rsidRDefault="00000000" w:rsidP="005915A7">
      <w:pPr>
        <w:spacing w:after="0" w:line="360" w:lineRule="auto"/>
        <w:ind w:firstLine="360"/>
        <w:jc w:val="both"/>
        <w:rPr>
          <w:rFonts w:ascii="Arial" w:eastAsia="Arial Unicode MS" w:hAnsi="Arial" w:cs="Arial"/>
          <w:kern w:val="0"/>
          <w:sz w:val="24"/>
          <w:szCs w:val="24"/>
          <w:lang w:val="en-US"/>
          <w14:ligatures w14:val="none"/>
        </w:rPr>
      </w:pPr>
      <w:r>
        <w:rPr>
          <w:rFonts w:ascii="Arial" w:eastAsia="Arial" w:hAnsi="Arial" w:cs="Arial"/>
          <w:color w:val="000000"/>
          <w:kern w:val="0"/>
          <w:sz w:val="24"/>
          <w:szCs w:val="24"/>
          <w:lang w:val="es-ES"/>
          <w14:ligatures w14:val="none"/>
        </w:rPr>
        <w:t xml:space="preserve"> </w:t>
      </w:r>
      <w:r>
        <w:rPr>
          <w:rFonts w:ascii="Arial" w:eastAsia="Arial" w:hAnsi="Arial" w:cs="Arial"/>
          <w:i/>
          <w:iCs/>
          <w:color w:val="000000"/>
          <w:kern w:val="0"/>
          <w:sz w:val="24"/>
          <w:szCs w:val="24"/>
          <w:lang w:val="es-ES"/>
          <w14:ligatures w14:val="none"/>
        </w:rPr>
        <w:t>Marco histórico y contextual</w:t>
      </w:r>
    </w:p>
    <w:p w14:paraId="0EF12131" w14:textId="51C809B7" w:rsidR="0093626A" w:rsidRDefault="00000000" w:rsidP="005915A7">
      <w:pPr>
        <w:spacing w:after="0" w:line="360" w:lineRule="auto"/>
        <w:jc w:val="both"/>
        <w:rPr>
          <w:rFonts w:ascii="Arial" w:eastAsia="Arial" w:hAnsi="Arial" w:cs="Arial"/>
          <w:kern w:val="0"/>
          <w:sz w:val="24"/>
          <w:szCs w:val="24"/>
          <w:lang w:val="zh-CN"/>
          <w14:ligatures w14:val="none"/>
        </w:rPr>
      </w:pPr>
      <w:r>
        <w:rPr>
          <w:rFonts w:ascii="Arial" w:eastAsia="Arial" w:hAnsi="Arial" w:cs="Arial"/>
          <w:color w:val="000000"/>
          <w:kern w:val="0"/>
          <w:sz w:val="24"/>
          <w:szCs w:val="24"/>
          <w:lang w:val="es-ES"/>
          <w14:ligatures w14:val="none"/>
        </w:rPr>
        <w:t xml:space="preserve">La internacionalización es un proceso que históricamente se ha definido y estudiado desde muchas teorías y enfoques. Desde las universidades hasta las secretarías de relaciones exteriores, así como las industrias privadas tienen como uno de sus principales objetivos internacionalizarse a través de sus comunidades, sus políticas económicas o sus productos. Por otro lado, mientras más crece el interés de estas organizaciones por cumplir esos objetivos, los estudios de este proceso en los ámbitos académicos, laborales y culturales ha incrementado al grado de llevar una visión crítica a las instituciones y al proceso de internacionalización y cómo afecta a su comunidad. </w:t>
      </w:r>
    </w:p>
    <w:p w14:paraId="5393165D" w14:textId="77777777" w:rsidR="0093626A" w:rsidRDefault="0093626A" w:rsidP="005915A7">
      <w:pPr>
        <w:spacing w:after="0" w:line="360" w:lineRule="auto"/>
        <w:jc w:val="both"/>
        <w:rPr>
          <w:rFonts w:ascii="Arial" w:eastAsia="Arial" w:hAnsi="Arial" w:cs="Arial"/>
          <w:kern w:val="0"/>
          <w:sz w:val="24"/>
          <w:szCs w:val="24"/>
          <w:lang w:val="zh-CN"/>
          <w14:ligatures w14:val="none"/>
        </w:rPr>
      </w:pPr>
    </w:p>
    <w:p w14:paraId="4CCDC527" w14:textId="77777777" w:rsidR="0093626A" w:rsidRPr="00634580" w:rsidRDefault="00000000" w:rsidP="00634580">
      <w:pPr>
        <w:spacing w:after="0" w:line="360" w:lineRule="auto"/>
        <w:ind w:firstLine="708"/>
        <w:jc w:val="both"/>
        <w:rPr>
          <w:rFonts w:ascii="Arial" w:eastAsia="Arial Unicode MS" w:hAnsi="Arial" w:cs="Arial"/>
          <w:kern w:val="0"/>
          <w:sz w:val="24"/>
          <w:szCs w:val="24"/>
          <w14:ligatures w14:val="none"/>
        </w:rPr>
      </w:pPr>
      <w:r>
        <w:rPr>
          <w:rFonts w:ascii="Arial" w:eastAsia="Arial" w:hAnsi="Arial" w:cs="Arial"/>
          <w:kern w:val="0"/>
          <w:sz w:val="24"/>
          <w:szCs w:val="24"/>
          <w:lang w:val="zh-CN"/>
          <w14:ligatures w14:val="none"/>
        </w:rPr>
        <w:t xml:space="preserve">Históricamente, la internacionalización ha sido un fenómeno que ha ocurrido desde la Edad Media. Universidades como la de Oxford, cuya fundación se remonta al menos al año de 1,096 d.C. así como la Universidad de París, oficializada en 1,200 d.C, y posteriormente el Trinity College en Dublín datado de 1,592 d,C. registran casos de internacionalización de profesores y alumnos para conseguir una mejor formación académica o ejercer en universidades de mayor renombre (Miller-Bernal, 2002).  Sin embargo, en la época moderna, particularmente en la segunda mitad del Siglo XX y por los cambios geopolíticos traídos por las guerras mundiales o los cambios de régimen de gobierno en algunas regiones, se promovieron nuevas relaciones entre los países y la internacionalización se volvió una herramienta para el intercambio cultural y mejoramiento de la calidad académica (Fernández y Ruzo, 2002). </w:t>
      </w:r>
    </w:p>
    <w:p w14:paraId="0D113B11" w14:textId="77777777" w:rsidR="0093626A" w:rsidRPr="00634580" w:rsidRDefault="00000000" w:rsidP="005915A7">
      <w:pPr>
        <w:spacing w:after="0" w:line="360" w:lineRule="auto"/>
        <w:ind w:firstLine="357"/>
        <w:jc w:val="both"/>
        <w:rPr>
          <w:rFonts w:ascii="Arial" w:eastAsia="Arial Unicode MS" w:hAnsi="Arial" w:cs="Arial"/>
          <w:kern w:val="0"/>
          <w:sz w:val="24"/>
          <w:szCs w:val="24"/>
          <w14:ligatures w14:val="none"/>
        </w:rPr>
      </w:pPr>
      <w:r>
        <w:rPr>
          <w:rFonts w:ascii="Arial" w:eastAsia="Arial" w:hAnsi="Arial" w:cs="Arial"/>
          <w:kern w:val="0"/>
          <w:sz w:val="24"/>
          <w:szCs w:val="24"/>
          <w:lang w:val="zh-CN"/>
          <w14:ligatures w14:val="none"/>
        </w:rPr>
        <w:t xml:space="preserve"> </w:t>
      </w:r>
    </w:p>
    <w:p w14:paraId="6913C31B" w14:textId="77777777" w:rsidR="0093626A" w:rsidRPr="00634580" w:rsidRDefault="00000000" w:rsidP="005915A7">
      <w:pPr>
        <w:spacing w:after="0" w:line="360" w:lineRule="auto"/>
        <w:ind w:firstLine="357"/>
        <w:jc w:val="both"/>
        <w:rPr>
          <w:rFonts w:ascii="Arial" w:eastAsia="Arial Unicode MS" w:hAnsi="Arial" w:cs="Arial"/>
          <w:kern w:val="0"/>
          <w:sz w:val="24"/>
          <w:szCs w:val="24"/>
          <w14:ligatures w14:val="none"/>
        </w:rPr>
      </w:pPr>
      <w:r>
        <w:rPr>
          <w:rFonts w:ascii="Arial" w:eastAsia="Arial" w:hAnsi="Arial" w:cs="Arial"/>
          <w:kern w:val="0"/>
          <w:sz w:val="24"/>
          <w:szCs w:val="24"/>
          <w:lang w:val="es-ES"/>
          <w14:ligatures w14:val="none"/>
        </w:rPr>
        <w:t xml:space="preserve">Desde los años 80 la movilidad del profesorado ha remontado en popularidad hasta convertirse en una herramienta didáctica en sí misma (Fernández y Ruzo, 2002). Se sabe que existen múltiples factores mediante los cuales la clase se ve enriquecida por las diferencias idiomáticas, culturales e ideales en un aula internacionalizada; por esto la movilidad, más que una ventana para el profesor de </w:t>
      </w:r>
      <w:r>
        <w:rPr>
          <w:rFonts w:ascii="Arial" w:eastAsia="Arial" w:hAnsi="Arial" w:cs="Arial"/>
          <w:kern w:val="0"/>
          <w:sz w:val="24"/>
          <w:szCs w:val="24"/>
          <w:lang w:val="es-ES"/>
          <w14:ligatures w14:val="none"/>
        </w:rPr>
        <w:lastRenderedPageBreak/>
        <w:t xml:space="preserve">ampliar su currículum y viajar, provee de oportunidades a todos los involucrados (Kammerer y Carbonell, 2020). Entre las ventajas derivadas de la movilidad docente está la provisión de elementos extra para el alumnado, adquisición e incremento del prestigio y transmisión de una visión de contenidos amplificada culturalmente (Gutiérrez-Sánchez et al., 2019). </w:t>
      </w:r>
    </w:p>
    <w:p w14:paraId="1008A438" w14:textId="77777777" w:rsidR="0093626A" w:rsidRDefault="0093626A" w:rsidP="005915A7">
      <w:pPr>
        <w:spacing w:after="0" w:line="360" w:lineRule="auto"/>
        <w:ind w:firstLine="357"/>
        <w:jc w:val="both"/>
        <w:rPr>
          <w:rFonts w:ascii="Arial" w:eastAsia="Arial" w:hAnsi="Arial" w:cs="Arial"/>
          <w:kern w:val="0"/>
          <w:sz w:val="24"/>
          <w:szCs w:val="24"/>
          <w:lang w:val="es-ES"/>
          <w14:ligatures w14:val="none"/>
        </w:rPr>
      </w:pPr>
    </w:p>
    <w:p w14:paraId="3690C1C6" w14:textId="77777777" w:rsidR="0093626A" w:rsidRDefault="00000000" w:rsidP="005915A7">
      <w:pPr>
        <w:spacing w:after="0" w:line="360" w:lineRule="auto"/>
        <w:jc w:val="both"/>
        <w:rPr>
          <w:rFonts w:ascii="Arial" w:eastAsia="Arial" w:hAnsi="Arial" w:cs="Arial"/>
          <w:i/>
          <w:iCs/>
          <w:kern w:val="0"/>
          <w:sz w:val="24"/>
          <w:szCs w:val="24"/>
          <w:lang w:val="es-ES"/>
          <w14:ligatures w14:val="none"/>
        </w:rPr>
      </w:pPr>
      <w:r>
        <w:rPr>
          <w:rFonts w:ascii="Arial" w:eastAsia="Arial" w:hAnsi="Arial" w:cs="Arial"/>
          <w:i/>
          <w:iCs/>
          <w:kern w:val="0"/>
          <w:sz w:val="24"/>
          <w:szCs w:val="24"/>
          <w:lang w:val="es-ES"/>
          <w14:ligatures w14:val="none"/>
        </w:rPr>
        <w:t xml:space="preserve">Marco referencial  </w:t>
      </w:r>
    </w:p>
    <w:p w14:paraId="6A66A311" w14:textId="77777777" w:rsidR="0093626A" w:rsidRPr="00634580" w:rsidRDefault="00000000" w:rsidP="005915A7">
      <w:pPr>
        <w:spacing w:after="0" w:line="360" w:lineRule="auto"/>
        <w:ind w:firstLine="720"/>
        <w:jc w:val="both"/>
        <w:rPr>
          <w:rFonts w:ascii="Arial" w:eastAsia="Arial Unicode MS" w:hAnsi="Arial" w:cs="Arial"/>
          <w:kern w:val="0"/>
          <w:sz w:val="24"/>
          <w:szCs w:val="24"/>
          <w14:ligatures w14:val="none"/>
        </w:rPr>
      </w:pPr>
      <w:r>
        <w:rPr>
          <w:rFonts w:ascii="Arial" w:eastAsia="Arial" w:hAnsi="Arial" w:cs="Arial"/>
          <w:kern w:val="0"/>
          <w:sz w:val="24"/>
          <w:szCs w:val="24"/>
          <w:lang w:val="es-ES"/>
          <w14:ligatures w14:val="none"/>
        </w:rPr>
        <w:t xml:space="preserve">En el contexto iberoamericano se identifican estudios sobre las relaciones de la escuela española con la escuela alemana en la compleja situación histórica de la Segunda Guerra Mundial y su posguerra (López, 2008). De este trabajo destaca el esfuerzo que hacían los académicos para seguir aportando los conocimientos que la ciencia estaba produciendo en la región europea y tratando de dejar de lado el inestable marco político que intentaban superar los docentes para continuar con su labor. </w:t>
      </w:r>
    </w:p>
    <w:p w14:paraId="7E8AB0B8" w14:textId="77777777" w:rsidR="0093626A" w:rsidRDefault="0093626A" w:rsidP="005915A7">
      <w:pPr>
        <w:spacing w:after="0" w:line="360" w:lineRule="auto"/>
        <w:ind w:firstLine="720"/>
        <w:jc w:val="both"/>
        <w:rPr>
          <w:rFonts w:ascii="Arial" w:eastAsia="Arial" w:hAnsi="Arial" w:cs="Arial"/>
          <w:kern w:val="0"/>
          <w:sz w:val="24"/>
          <w:szCs w:val="24"/>
          <w:lang w:val="es-ES"/>
          <w14:ligatures w14:val="none"/>
        </w:rPr>
      </w:pPr>
    </w:p>
    <w:p w14:paraId="29AA721D" w14:textId="77777777" w:rsidR="0093626A" w:rsidRDefault="00000000" w:rsidP="005915A7">
      <w:pPr>
        <w:spacing w:after="0" w:line="360" w:lineRule="auto"/>
        <w:ind w:firstLine="720"/>
        <w:jc w:val="both"/>
        <w:rPr>
          <w:rFonts w:ascii="Arial" w:eastAsia="Arial" w:hAnsi="Arial" w:cs="Arial"/>
          <w:kern w:val="0"/>
          <w:sz w:val="24"/>
          <w:szCs w:val="24"/>
          <w:lang w:val="es-ES"/>
          <w14:ligatures w14:val="none"/>
        </w:rPr>
      </w:pPr>
      <w:r>
        <w:rPr>
          <w:rFonts w:ascii="Arial" w:eastAsia="Arial" w:hAnsi="Arial" w:cs="Arial"/>
          <w:kern w:val="0"/>
          <w:sz w:val="24"/>
          <w:szCs w:val="24"/>
          <w:lang w:val="es-ES"/>
          <w14:ligatures w14:val="none"/>
        </w:rPr>
        <w:t xml:space="preserve">Según Altbach y Knight (2006), en los años recientes se ha presentado un avance exponencial en las estructuras y procesos que facilitan la movilidad desde un punto de vista global congruente con la tendencia actual del orden económico y sistémico, donde las universidades enfrentan el reto de reinventar no sólo sus programas académicos, sino de actualizar sus esquemas y comenzar a preparar a los estudiantes para las condiciones a las que ellos tendrán que enfrentarse. Aunque sus afirmaciones tuvieron lugar muchos años antes de la crisis por la pandemia de COVID-19 y el colapso de la economía internacional asociado a ella, hoy la globalización educativa es una realidad ineludible. La necesidad de un profesorado diverso y bien preparado capaz de proveer a los estudiantes de los ángulos de pensamiento necesarios para subsistir y obtener provecho de las nuevas condiciones en las que el mundo comenzará a operar durante los años próximos. De acuerdo con experiencias de docentes mexicanos, la movilidad internacional contribuye en gran medida al desarrollo del capital humano y que puede traer como beneficios la incorporación de docentes, el intercambio académico y la creación de redes y grupos de investigación en conjunto, todo lo que contribuye al capital social </w:t>
      </w:r>
      <w:r>
        <w:rPr>
          <w:rFonts w:ascii="Arial" w:eastAsia="Arial" w:hAnsi="Arial" w:cs="Arial"/>
          <w:kern w:val="0"/>
          <w:sz w:val="24"/>
          <w:szCs w:val="24"/>
          <w:lang w:val="es-ES"/>
          <w14:ligatures w14:val="none"/>
        </w:rPr>
        <w:lastRenderedPageBreak/>
        <w:t>(García-Gómez et al., 2022).  En otro estudio practicado en docentes peruanos, el abordaje fenomenológico reveló que las prácticas de investigación y gestión requieren mejorarse para que se obtengan mejores resultados (Casimiro et al., 2017).</w:t>
      </w:r>
    </w:p>
    <w:p w14:paraId="0AE89256" w14:textId="77777777" w:rsidR="0093626A" w:rsidRDefault="00000000" w:rsidP="00634580">
      <w:pPr>
        <w:spacing w:after="0" w:line="360" w:lineRule="auto"/>
        <w:jc w:val="both"/>
        <w:rPr>
          <w:rFonts w:ascii="Arial" w:eastAsia="Arial" w:hAnsi="Arial" w:cs="Arial"/>
          <w:kern w:val="0"/>
          <w:sz w:val="24"/>
          <w:szCs w:val="24"/>
          <w:lang w:val="es-ES"/>
          <w14:ligatures w14:val="none"/>
        </w:rPr>
      </w:pPr>
      <w:r>
        <w:rPr>
          <w:rFonts w:ascii="Arial" w:eastAsia="Arial" w:hAnsi="Arial" w:cs="Arial"/>
          <w:kern w:val="0"/>
          <w:sz w:val="24"/>
          <w:szCs w:val="24"/>
          <w:lang w:val="es-ES"/>
          <w14:ligatures w14:val="none"/>
        </w:rPr>
        <w:t xml:space="preserve"> </w:t>
      </w:r>
    </w:p>
    <w:p w14:paraId="1742B1E1" w14:textId="77777777" w:rsidR="0093626A" w:rsidRPr="00634580" w:rsidRDefault="00000000" w:rsidP="005915A7">
      <w:pPr>
        <w:spacing w:after="0" w:line="360" w:lineRule="auto"/>
        <w:ind w:firstLine="720"/>
        <w:jc w:val="both"/>
        <w:rPr>
          <w:rFonts w:ascii="Arial" w:eastAsia="Arial Unicode MS" w:hAnsi="Arial" w:cs="Arial"/>
          <w:kern w:val="0"/>
          <w:sz w:val="24"/>
          <w:szCs w:val="24"/>
          <w14:ligatures w14:val="none"/>
        </w:rPr>
      </w:pPr>
      <w:r>
        <w:rPr>
          <w:rFonts w:ascii="Arial" w:eastAsia="Arial" w:hAnsi="Arial" w:cs="Arial"/>
          <w:kern w:val="0"/>
          <w:sz w:val="24"/>
          <w:szCs w:val="24"/>
          <w:lang w:val="es-ES"/>
          <w14:ligatures w14:val="none"/>
        </w:rPr>
        <w:t xml:space="preserve">El elemento migratorio es otro a tomar en cuenta en el análisis de los fenómenos asociados a la movilidad docente. Al enfocarse a la movilidad presencial, surge el análisis de los sucesos que va enfrentando el docente para habitar temporalmente el país donde desarrollará su actividad. Es importante hacer notar que los conceptos de “migración” y “movilidad” son diferentes: mientras uno implica una mudanza definitiva o por tiempo indefinido, el segundo se asocia a una estancia temporal en un país distinto al de su residencia habitual hasta cumplir los objetivos de dicha movilidad. En este sentido cobra importancia la estructura institucional que facilite o acerque los trámites debidos al docente en cuestión (Gutiérrez-Sánchez et al, 2019) y suele estar en relación con los acuerdos académicos que tenga una universidad con la otra. Resulta de atención también tomar en cuenta que algunas situaciones políticas pueden facilitar o dificultar la movilidad o la migración de personas a otro sitio, especialmente cuando el país en cuestión tiene diferencias con otros y eso hace que exista cierta animadversión o prejuicio hacia sus habitantes. </w:t>
      </w:r>
    </w:p>
    <w:p w14:paraId="74AEC6E6" w14:textId="77777777" w:rsidR="0093626A" w:rsidRPr="00634580" w:rsidRDefault="00000000" w:rsidP="005915A7">
      <w:pPr>
        <w:spacing w:after="0" w:line="360" w:lineRule="auto"/>
        <w:ind w:firstLine="720"/>
        <w:jc w:val="both"/>
        <w:rPr>
          <w:rFonts w:ascii="Arial" w:eastAsia="Arial Unicode MS" w:hAnsi="Arial" w:cs="Arial"/>
          <w:kern w:val="0"/>
          <w:sz w:val="24"/>
          <w:szCs w:val="24"/>
          <w14:ligatures w14:val="none"/>
        </w:rPr>
      </w:pPr>
      <w:r>
        <w:rPr>
          <w:rFonts w:ascii="Arial" w:eastAsia="Arial" w:hAnsi="Arial" w:cs="Arial"/>
          <w:kern w:val="0"/>
          <w:sz w:val="24"/>
          <w:szCs w:val="24"/>
          <w:lang w:val="es-ES"/>
          <w14:ligatures w14:val="none"/>
        </w:rPr>
        <w:t xml:space="preserve"> </w:t>
      </w:r>
    </w:p>
    <w:p w14:paraId="70114E4D" w14:textId="77777777" w:rsidR="0093626A" w:rsidRDefault="00000000" w:rsidP="005915A7">
      <w:pPr>
        <w:spacing w:after="0" w:line="360" w:lineRule="auto"/>
        <w:jc w:val="both"/>
        <w:rPr>
          <w:rFonts w:ascii="Arial" w:eastAsia="Arial" w:hAnsi="Arial" w:cs="Arial"/>
          <w:i/>
          <w:iCs/>
          <w:kern w:val="0"/>
          <w:sz w:val="24"/>
          <w:szCs w:val="24"/>
          <w:lang w:val="es-ES"/>
          <w14:ligatures w14:val="none"/>
        </w:rPr>
      </w:pPr>
      <w:r>
        <w:rPr>
          <w:rFonts w:ascii="Arial" w:eastAsia="Arial" w:hAnsi="Arial" w:cs="Arial"/>
          <w:i/>
          <w:iCs/>
          <w:kern w:val="0"/>
          <w:sz w:val="24"/>
          <w:szCs w:val="24"/>
          <w:lang w:val="es-ES"/>
          <w14:ligatures w14:val="none"/>
        </w:rPr>
        <w:t>Marco teórico</w:t>
      </w:r>
    </w:p>
    <w:p w14:paraId="62F5DDC7" w14:textId="77777777" w:rsidR="0093626A" w:rsidRPr="00634580" w:rsidRDefault="00000000" w:rsidP="005915A7">
      <w:pPr>
        <w:spacing w:after="0" w:line="360" w:lineRule="auto"/>
        <w:ind w:firstLine="720"/>
        <w:jc w:val="both"/>
        <w:rPr>
          <w:rFonts w:ascii="Arial" w:eastAsia="Arial Unicode MS" w:hAnsi="Arial" w:cs="Arial"/>
          <w:kern w:val="0"/>
          <w:sz w:val="24"/>
          <w:szCs w:val="24"/>
          <w14:ligatures w14:val="none"/>
        </w:rPr>
      </w:pPr>
      <w:r>
        <w:rPr>
          <w:rFonts w:ascii="Arial" w:eastAsia="Arial" w:hAnsi="Arial" w:cs="Arial"/>
          <w:kern w:val="0"/>
          <w:sz w:val="24"/>
          <w:szCs w:val="24"/>
          <w:lang w:val="es-ES"/>
          <w14:ligatures w14:val="none"/>
        </w:rPr>
        <w:t xml:space="preserve">El presente trabajo se apoya en el enfoque fenomenológico, que se desarrolla en el siguiente apartado y que se utilizará para la interpretación de los resultados, dado que el interés central del estudio es profundizar sobre las experiencias de los docentes en cuanto a la movilidad internacional en su labor profesional. </w:t>
      </w:r>
    </w:p>
    <w:p w14:paraId="0D49F43C" w14:textId="77777777" w:rsidR="0093626A" w:rsidRPr="00634580" w:rsidRDefault="00000000" w:rsidP="005915A7">
      <w:pPr>
        <w:spacing w:after="0" w:line="360" w:lineRule="auto"/>
        <w:ind w:firstLine="720"/>
        <w:jc w:val="both"/>
        <w:rPr>
          <w:rFonts w:ascii="Arial" w:eastAsia="Arial Unicode MS" w:hAnsi="Arial" w:cs="Arial"/>
          <w:kern w:val="0"/>
          <w:sz w:val="24"/>
          <w:szCs w:val="24"/>
          <w14:ligatures w14:val="none"/>
        </w:rPr>
      </w:pPr>
      <w:r>
        <w:rPr>
          <w:rFonts w:ascii="Arial" w:eastAsia="Arial" w:hAnsi="Arial" w:cs="Arial"/>
          <w:kern w:val="0"/>
          <w:sz w:val="24"/>
          <w:szCs w:val="24"/>
          <w:lang w:val="es-ES"/>
          <w14:ligatures w14:val="none"/>
        </w:rPr>
        <w:t xml:space="preserve"> </w:t>
      </w:r>
    </w:p>
    <w:p w14:paraId="692B6C93" w14:textId="77777777" w:rsidR="0093626A" w:rsidRPr="00634580" w:rsidRDefault="00000000" w:rsidP="005915A7">
      <w:pPr>
        <w:spacing w:after="0" w:line="360" w:lineRule="auto"/>
        <w:ind w:firstLine="720"/>
        <w:jc w:val="both"/>
        <w:rPr>
          <w:rFonts w:ascii="Arial" w:eastAsia="Arial Unicode MS" w:hAnsi="Arial" w:cs="Arial"/>
          <w:kern w:val="0"/>
          <w:sz w:val="24"/>
          <w:szCs w:val="24"/>
          <w14:ligatures w14:val="none"/>
        </w:rPr>
      </w:pPr>
      <w:r>
        <w:rPr>
          <w:rFonts w:ascii="Arial" w:eastAsia="Arial" w:hAnsi="Arial" w:cs="Arial"/>
          <w:i/>
          <w:iCs/>
          <w:kern w:val="0"/>
          <w:sz w:val="24"/>
          <w:szCs w:val="24"/>
          <w:lang w:val="es-ES"/>
          <w14:ligatures w14:val="none"/>
        </w:rPr>
        <w:t>Fenomenología de la Internacionalización</w:t>
      </w:r>
    </w:p>
    <w:p w14:paraId="41F127E2" w14:textId="77777777" w:rsidR="0093626A" w:rsidRDefault="00000000" w:rsidP="005915A7">
      <w:pPr>
        <w:spacing w:after="0" w:line="360" w:lineRule="auto"/>
        <w:ind w:firstLine="720"/>
        <w:jc w:val="both"/>
        <w:rPr>
          <w:rFonts w:ascii="Arial" w:eastAsia="Arial" w:hAnsi="Arial" w:cs="Arial"/>
          <w:kern w:val="0"/>
          <w:sz w:val="24"/>
          <w:szCs w:val="24"/>
          <w:lang w:val="es-ES"/>
          <w14:ligatures w14:val="none"/>
        </w:rPr>
      </w:pPr>
      <w:r>
        <w:rPr>
          <w:rFonts w:ascii="Arial" w:eastAsia="Arial" w:hAnsi="Arial" w:cs="Arial"/>
          <w:kern w:val="0"/>
          <w:sz w:val="24"/>
          <w:szCs w:val="24"/>
          <w:lang w:val="es-ES"/>
          <w14:ligatures w14:val="none"/>
        </w:rPr>
        <w:t xml:space="preserve">Para el desarrollo de este capítulo y la argumentación que se presenta, es necesario tomar como base algunos supuestos. Toda argumentación en su modelo </w:t>
      </w:r>
      <w:r>
        <w:rPr>
          <w:rFonts w:ascii="Arial" w:eastAsia="Arial" w:hAnsi="Arial" w:cs="Arial"/>
          <w:kern w:val="0"/>
          <w:sz w:val="24"/>
          <w:szCs w:val="24"/>
          <w:lang w:val="es-ES"/>
          <w14:ligatures w14:val="none"/>
        </w:rPr>
        <w:lastRenderedPageBreak/>
        <w:t>pragmadialéctico tiene premisas implícitas, pero es necesario aclarar algunas de ellas para hablar de la fenomenología de la internacionalización. Antes de esto, es necesario describir que este proceso ocurre dentro de uno más grande que es la educación, por lo que el entendimiento que se le dé va a influir en la concepción de la internacionalización. Se parte de la definición de los derechos que la misma declaración universal de los derechos humanos menciona: (Declaración Universal de Derechos Humanos, 1948):</w:t>
      </w:r>
    </w:p>
    <w:p w14:paraId="5B93D2D4" w14:textId="77777777" w:rsidR="0093626A" w:rsidRDefault="0093626A" w:rsidP="00634580">
      <w:pPr>
        <w:spacing w:after="0" w:line="360" w:lineRule="auto"/>
        <w:ind w:left="720" w:hanging="60"/>
        <w:jc w:val="both"/>
        <w:rPr>
          <w:rFonts w:ascii="Arial" w:eastAsia="Arial" w:hAnsi="Arial" w:cs="Arial"/>
          <w:kern w:val="0"/>
          <w:sz w:val="24"/>
          <w:szCs w:val="24"/>
          <w:lang w:val="es-ES"/>
          <w14:ligatures w14:val="none"/>
        </w:rPr>
      </w:pPr>
    </w:p>
    <w:p w14:paraId="510C0507" w14:textId="77777777" w:rsidR="0093626A" w:rsidRPr="00634580" w:rsidRDefault="00000000" w:rsidP="00634580">
      <w:pPr>
        <w:spacing w:after="0" w:line="360" w:lineRule="auto"/>
        <w:ind w:left="720" w:hanging="60"/>
        <w:jc w:val="both"/>
        <w:rPr>
          <w:rFonts w:ascii="Arial" w:eastAsia="Arial" w:hAnsi="Arial" w:cs="Arial"/>
          <w:kern w:val="0"/>
          <w:sz w:val="24"/>
          <w:szCs w:val="24"/>
          <w:lang w:val="es-ES"/>
          <w14:ligatures w14:val="none"/>
        </w:rPr>
      </w:pPr>
      <w:r w:rsidRPr="00634580">
        <w:rPr>
          <w:rFonts w:ascii="Arial" w:eastAsia="Arial" w:hAnsi="Arial" w:cs="Arial"/>
          <w:kern w:val="0"/>
          <w:sz w:val="24"/>
          <w:szCs w:val="24"/>
          <w:lang w:val="es-ES"/>
          <w14:ligatures w14:val="none"/>
        </w:rPr>
        <w:t>La educación tendrá por objeto el pleno desarrollo de la personalidad humana y el fortalecimiento del respeto a los derechos humanos y a las libertades fundamentales; favorecerá la comprensión, la tolerancia y la amistad entre todas las naciones y todos los grupos étnicos o religiosos.</w:t>
      </w:r>
    </w:p>
    <w:p w14:paraId="5529BA9A" w14:textId="77777777" w:rsidR="0093626A" w:rsidRDefault="0093626A" w:rsidP="005915A7">
      <w:pPr>
        <w:spacing w:after="0" w:line="360" w:lineRule="auto"/>
        <w:ind w:firstLine="720"/>
        <w:jc w:val="both"/>
        <w:rPr>
          <w:rFonts w:ascii="Arial" w:eastAsia="Arial" w:hAnsi="Arial" w:cs="Arial"/>
          <w:kern w:val="0"/>
          <w:sz w:val="24"/>
          <w:szCs w:val="24"/>
          <w:lang w:val="es-ES"/>
          <w14:ligatures w14:val="none"/>
        </w:rPr>
      </w:pPr>
    </w:p>
    <w:p w14:paraId="3CE896B7" w14:textId="77777777" w:rsidR="0093626A" w:rsidRPr="00634580" w:rsidRDefault="00000000" w:rsidP="005915A7">
      <w:pPr>
        <w:spacing w:after="0" w:line="360" w:lineRule="auto"/>
        <w:ind w:firstLine="720"/>
        <w:jc w:val="both"/>
        <w:rPr>
          <w:rFonts w:ascii="Arial" w:eastAsia="Arial Unicode MS" w:hAnsi="Arial" w:cs="Arial"/>
          <w:kern w:val="0"/>
          <w:sz w:val="24"/>
          <w:szCs w:val="24"/>
          <w14:ligatures w14:val="none"/>
        </w:rPr>
      </w:pPr>
      <w:r>
        <w:rPr>
          <w:rFonts w:ascii="Arial" w:eastAsia="Arial" w:hAnsi="Arial" w:cs="Arial"/>
          <w:kern w:val="0"/>
          <w:sz w:val="24"/>
          <w:szCs w:val="24"/>
          <w:lang w:val="es-ES"/>
          <w14:ligatures w14:val="none"/>
        </w:rPr>
        <w:t>Este acercamiento a la educación permite entenderla como un proceso de formación de personas y ciudadanos, en tanto que favorecen la convivencia de los individuos desde la tolerancia y su desarrollo en la sociedad. Pero, a pesar de esto, distintas perspectivas políticas han interpretado el derecho dependiendo de ellas.</w:t>
      </w:r>
    </w:p>
    <w:p w14:paraId="41EAAC1E" w14:textId="77777777" w:rsidR="0093626A" w:rsidRDefault="0093626A" w:rsidP="005915A7">
      <w:pPr>
        <w:spacing w:after="0" w:line="360" w:lineRule="auto"/>
        <w:ind w:firstLine="720"/>
        <w:jc w:val="both"/>
        <w:rPr>
          <w:rFonts w:ascii="Arial" w:eastAsia="Arial" w:hAnsi="Arial" w:cs="Arial"/>
          <w:kern w:val="0"/>
          <w:sz w:val="24"/>
          <w:szCs w:val="24"/>
          <w:lang w:val="es-ES"/>
          <w14:ligatures w14:val="none"/>
        </w:rPr>
      </w:pPr>
    </w:p>
    <w:p w14:paraId="62D9D93B" w14:textId="77777777" w:rsidR="0093626A" w:rsidRDefault="00000000" w:rsidP="005915A7">
      <w:pPr>
        <w:spacing w:after="0" w:line="360" w:lineRule="auto"/>
        <w:ind w:firstLine="720"/>
        <w:jc w:val="both"/>
        <w:rPr>
          <w:rFonts w:ascii="Arial" w:eastAsia="Arial" w:hAnsi="Arial" w:cs="Arial"/>
          <w:kern w:val="0"/>
          <w:sz w:val="24"/>
          <w:szCs w:val="24"/>
          <w:highlight w:val="yellow"/>
          <w:lang w:val="es-ES"/>
          <w14:ligatures w14:val="none"/>
        </w:rPr>
      </w:pPr>
      <w:r>
        <w:rPr>
          <w:rFonts w:ascii="Arial" w:eastAsia="Arial" w:hAnsi="Arial" w:cs="Arial"/>
          <w:kern w:val="0"/>
          <w:sz w:val="24"/>
          <w:szCs w:val="24"/>
          <w:lang w:val="es-ES"/>
          <w14:ligatures w14:val="none"/>
        </w:rPr>
        <w:t>Según Martinez y Soto (2012) El Consenso de Washington (1989) y la Declaración de Bolonia (1999), representando el primero al Fondo Monetario Internacional (FMI), al Banco Mundial y al Departamento del Tesoro de Estados Unidos; y la segunda, firmada por todos los ministros de Educación de los países que pertenecen al Espacio Europeo de Educación Superior que dio pie al acuerdo General de Comercio de Servicios (1995), coincidieron fundamentalmente en que la educación debe estar orientada a las necesidades del mercado. Esto presupone una jerarquía donde el mercado y la economía dicta las necesidades y objetivos de la educación entre las Instituciones de Educación Superior (IES) con el fin de crear una economía global donde todos los sujetos compartan y convivan de forma universal más allá de las propias situaciones contextuales de sus sociedades.</w:t>
      </w:r>
    </w:p>
    <w:p w14:paraId="5A6FA092" w14:textId="77777777" w:rsidR="0093626A" w:rsidRDefault="0093626A" w:rsidP="005915A7">
      <w:pPr>
        <w:spacing w:after="0" w:line="360" w:lineRule="auto"/>
        <w:ind w:firstLine="720"/>
        <w:jc w:val="both"/>
        <w:rPr>
          <w:rFonts w:ascii="Arial" w:eastAsia="Arial" w:hAnsi="Arial" w:cs="Arial"/>
          <w:kern w:val="0"/>
          <w:sz w:val="24"/>
          <w:szCs w:val="24"/>
          <w:lang w:val="es-ES"/>
          <w14:ligatures w14:val="none"/>
        </w:rPr>
      </w:pPr>
    </w:p>
    <w:p w14:paraId="076FEFB6" w14:textId="77777777" w:rsidR="0093626A" w:rsidRPr="00634580" w:rsidRDefault="00000000" w:rsidP="005915A7">
      <w:pPr>
        <w:spacing w:after="0" w:line="360" w:lineRule="auto"/>
        <w:jc w:val="both"/>
        <w:rPr>
          <w:rFonts w:ascii="Arial" w:eastAsia="Arial Unicode MS" w:hAnsi="Arial" w:cs="Arial"/>
          <w:kern w:val="0"/>
          <w:sz w:val="24"/>
          <w:szCs w:val="24"/>
          <w14:ligatures w14:val="none"/>
        </w:rPr>
      </w:pPr>
      <w:r>
        <w:rPr>
          <w:rFonts w:ascii="Arial" w:eastAsia="Arial" w:hAnsi="Arial" w:cs="Arial"/>
          <w:i/>
          <w:iCs/>
          <w:kern w:val="0"/>
          <w:sz w:val="24"/>
          <w:szCs w:val="24"/>
          <w:lang w:val="zh-CN"/>
          <w14:ligatures w14:val="none"/>
        </w:rPr>
        <w:t>Aspectos académicos de la internacionalización</w:t>
      </w:r>
    </w:p>
    <w:p w14:paraId="6C4BD775" w14:textId="77777777" w:rsidR="0093626A" w:rsidRPr="00634580" w:rsidRDefault="00000000" w:rsidP="005915A7">
      <w:pPr>
        <w:spacing w:after="0" w:line="360" w:lineRule="auto"/>
        <w:ind w:firstLine="720"/>
        <w:jc w:val="both"/>
        <w:rPr>
          <w:rFonts w:ascii="Arial" w:eastAsia="Arial Unicode MS" w:hAnsi="Arial" w:cs="Arial"/>
          <w:kern w:val="0"/>
          <w:sz w:val="24"/>
          <w:szCs w:val="24"/>
          <w14:ligatures w14:val="none"/>
        </w:rPr>
      </w:pPr>
      <w:r>
        <w:rPr>
          <w:rFonts w:ascii="Arial" w:eastAsia="Arial" w:hAnsi="Arial" w:cs="Arial"/>
          <w:kern w:val="0"/>
          <w:sz w:val="24"/>
          <w:szCs w:val="24"/>
          <w:lang w:val="zh-CN"/>
          <w14:ligatures w14:val="none"/>
        </w:rPr>
        <w:lastRenderedPageBreak/>
        <w:t>Desde un ámbito académico, Knight (1995, citado por Lenz, 2010) propone que la “Internacionalización [...] es el proceso de integrar una dimensión internacional e intercultural a la enseñanza, investigación y funciones de servicio de una institución”. Esta definición, como ya señalan Lenz (2010), tiene tres puntos clave que permiten entender la internacionalización en cualquier ámbito: Primero, que es un proceso -es decir, dinámico y no estable que varía de caso en caso-; después, que participan muchos factores para poder ser medido; y por último, que no se refiere solamente a algo geográfico, la interculturalidad sucede desde que individuos de grupos diferentes conviven en un espacio, aunque es más probable que dos personas tengan más diferencias si son de países distintos y sea más enriquecedor el encuentro.</w:t>
      </w:r>
    </w:p>
    <w:p w14:paraId="34958224" w14:textId="77777777" w:rsidR="0093626A" w:rsidRDefault="0093626A" w:rsidP="005915A7">
      <w:pPr>
        <w:spacing w:after="0" w:line="360" w:lineRule="auto"/>
        <w:jc w:val="both"/>
        <w:rPr>
          <w:rFonts w:ascii="Arial" w:eastAsia="Arial" w:hAnsi="Arial" w:cs="Arial"/>
          <w:kern w:val="0"/>
          <w:sz w:val="24"/>
          <w:szCs w:val="24"/>
          <w:lang w:val="zh-CN"/>
          <w14:ligatures w14:val="none"/>
        </w:rPr>
      </w:pPr>
    </w:p>
    <w:p w14:paraId="66AE6270" w14:textId="77777777" w:rsidR="0093626A" w:rsidRPr="00634580" w:rsidRDefault="00000000" w:rsidP="00634580">
      <w:pPr>
        <w:spacing w:after="0" w:line="360" w:lineRule="auto"/>
        <w:ind w:firstLine="708"/>
        <w:jc w:val="both"/>
        <w:rPr>
          <w:rFonts w:ascii="Arial" w:eastAsia="Arial Unicode MS" w:hAnsi="Arial" w:cs="Arial"/>
          <w:kern w:val="0"/>
          <w:sz w:val="24"/>
          <w:szCs w:val="24"/>
          <w14:ligatures w14:val="none"/>
        </w:rPr>
      </w:pPr>
      <w:r>
        <w:rPr>
          <w:rFonts w:ascii="Arial" w:eastAsia="Arial" w:hAnsi="Arial" w:cs="Arial"/>
          <w:kern w:val="0"/>
          <w:sz w:val="24"/>
          <w:szCs w:val="24"/>
          <w:lang w:val="zh-CN"/>
          <w14:ligatures w14:val="none"/>
        </w:rPr>
        <w:t xml:space="preserve">Además, no basta que dos personas de distintas comunidades se encuentren en el mismo espacio, en los fenómenos de internacionalización tienen que haber una participación o colaboración entre los individuos para que se logren los objetivos de formación de las universidades. La internacionalización, por lo tanto, tiene que ver con los conceptos de </w:t>
      </w:r>
      <w:r>
        <w:rPr>
          <w:rFonts w:ascii="Arial" w:eastAsia="Arial" w:hAnsi="Arial" w:cs="Arial"/>
          <w:i/>
          <w:iCs/>
          <w:kern w:val="0"/>
          <w:sz w:val="24"/>
          <w:szCs w:val="24"/>
          <w:lang w:val="zh-CN"/>
          <w14:ligatures w14:val="none"/>
        </w:rPr>
        <w:t xml:space="preserve">persona </w:t>
      </w:r>
      <w:r>
        <w:rPr>
          <w:rFonts w:ascii="Arial" w:eastAsia="Arial" w:hAnsi="Arial" w:cs="Arial"/>
          <w:kern w:val="0"/>
          <w:sz w:val="24"/>
          <w:szCs w:val="24"/>
          <w:lang w:val="zh-CN"/>
          <w14:ligatures w14:val="none"/>
        </w:rPr>
        <w:t xml:space="preserve">y del </w:t>
      </w:r>
      <w:r>
        <w:rPr>
          <w:rFonts w:ascii="Arial" w:eastAsia="Arial" w:hAnsi="Arial" w:cs="Arial"/>
          <w:i/>
          <w:iCs/>
          <w:kern w:val="0"/>
          <w:sz w:val="24"/>
          <w:szCs w:val="24"/>
          <w:lang w:val="zh-CN"/>
          <w14:ligatures w14:val="none"/>
        </w:rPr>
        <w:t>otro</w:t>
      </w:r>
      <w:r>
        <w:rPr>
          <w:rFonts w:ascii="Arial" w:eastAsia="Arial" w:hAnsi="Arial" w:cs="Arial"/>
          <w:kern w:val="0"/>
          <w:sz w:val="24"/>
          <w:szCs w:val="24"/>
          <w:lang w:val="zh-CN"/>
          <w14:ligatures w14:val="none"/>
        </w:rPr>
        <w:t xml:space="preserve">, pues su encuentro y vinculación es la forma en la que ocurre este proceso. Según Torralba (2011) en la escuela kantiana, la persona está compuesta por dos elementos: lo social y lo individual. Lo individual hace referencia a los procesos internos que tienen las personas: la reflexión, la percepción, las emociones y que no tiene que ver con los roles, valores o creencias de la sociedad. La parte social son las características, valores y creencias que son adquiridas en los grupos con los que se tiene contacto. Estos aspectos están continuamente en relación y aportan a la formación de la persona. </w:t>
      </w:r>
    </w:p>
    <w:p w14:paraId="4B0347D7" w14:textId="77777777" w:rsidR="0093626A" w:rsidRDefault="0093626A" w:rsidP="005915A7">
      <w:pPr>
        <w:spacing w:after="0" w:line="360" w:lineRule="auto"/>
        <w:ind w:firstLine="720"/>
        <w:jc w:val="both"/>
        <w:rPr>
          <w:rFonts w:ascii="Arial" w:eastAsia="Arial" w:hAnsi="Arial" w:cs="Arial"/>
          <w:kern w:val="0"/>
          <w:sz w:val="24"/>
          <w:szCs w:val="24"/>
          <w:lang w:val="zh-CN"/>
          <w14:ligatures w14:val="none"/>
        </w:rPr>
      </w:pPr>
    </w:p>
    <w:p w14:paraId="57E7E52F" w14:textId="77777777" w:rsidR="0093626A" w:rsidRDefault="00000000" w:rsidP="005915A7">
      <w:pPr>
        <w:spacing w:after="0" w:line="360" w:lineRule="auto"/>
        <w:ind w:firstLine="720"/>
        <w:jc w:val="both"/>
        <w:rPr>
          <w:rFonts w:ascii="Arial" w:eastAsia="Arial" w:hAnsi="Arial" w:cs="Arial"/>
          <w:kern w:val="0"/>
          <w:sz w:val="24"/>
          <w:szCs w:val="24"/>
          <w:highlight w:val="yellow"/>
          <w:lang w:val="zh-CN"/>
          <w14:ligatures w14:val="none"/>
        </w:rPr>
      </w:pPr>
      <w:r>
        <w:rPr>
          <w:rFonts w:ascii="Arial" w:eastAsia="Arial" w:hAnsi="Arial" w:cs="Arial"/>
          <w:kern w:val="0"/>
          <w:sz w:val="24"/>
          <w:szCs w:val="24"/>
          <w:lang w:val="zh-CN"/>
          <w14:ligatures w14:val="none"/>
        </w:rPr>
        <w:t xml:space="preserve">Mientras el </w:t>
      </w:r>
      <w:r>
        <w:rPr>
          <w:rFonts w:ascii="Arial" w:eastAsia="Arial" w:hAnsi="Arial" w:cs="Arial"/>
          <w:i/>
          <w:iCs/>
          <w:kern w:val="0"/>
          <w:sz w:val="24"/>
          <w:szCs w:val="24"/>
          <w:lang w:val="zh-CN"/>
          <w14:ligatures w14:val="none"/>
        </w:rPr>
        <w:t>otro</w:t>
      </w:r>
      <w:r>
        <w:rPr>
          <w:rFonts w:ascii="Arial" w:eastAsia="Arial" w:hAnsi="Arial" w:cs="Arial"/>
          <w:kern w:val="0"/>
          <w:sz w:val="24"/>
          <w:szCs w:val="24"/>
          <w:lang w:val="zh-CN"/>
          <w14:ligatures w14:val="none"/>
        </w:rPr>
        <w:t xml:space="preserve">, es decir los grupos o individuos que tengan contacto con la persona, sea más diverso, más oportunidades se tendrán de procesos reflexivos y de formación. Esto, en las universidades, debería fomentar que en los contextos académicos confluyan más visiones y reflexiones entre sus alumnos y profesores. La internacionalización ha permitido que las personas tengan contacto con “otros”, </w:t>
      </w:r>
      <w:r>
        <w:rPr>
          <w:rFonts w:ascii="Arial" w:eastAsia="Arial" w:hAnsi="Arial" w:cs="Arial"/>
          <w:kern w:val="0"/>
          <w:sz w:val="24"/>
          <w:szCs w:val="24"/>
          <w:lang w:val="zh-CN"/>
          <w14:ligatures w14:val="none"/>
        </w:rPr>
        <w:lastRenderedPageBreak/>
        <w:t>no solamente provenientes del contexto en el que viven o similares, sino con personas ajenas a la sociedad donde viven. (Sebastián, 2005).</w:t>
      </w:r>
    </w:p>
    <w:p w14:paraId="7650335B" w14:textId="77777777" w:rsidR="0093626A" w:rsidRDefault="0093626A" w:rsidP="005915A7">
      <w:pPr>
        <w:spacing w:after="0" w:line="360" w:lineRule="auto"/>
        <w:ind w:firstLine="720"/>
        <w:jc w:val="both"/>
        <w:rPr>
          <w:rFonts w:ascii="Arial" w:eastAsia="Arial" w:hAnsi="Arial" w:cs="Arial"/>
          <w:kern w:val="0"/>
          <w:sz w:val="24"/>
          <w:szCs w:val="24"/>
          <w:lang w:val="zh-CN"/>
          <w14:ligatures w14:val="none"/>
        </w:rPr>
      </w:pPr>
    </w:p>
    <w:p w14:paraId="7DCF30DA" w14:textId="77777777" w:rsidR="0093626A" w:rsidRPr="00634580" w:rsidRDefault="00000000" w:rsidP="005915A7">
      <w:pPr>
        <w:spacing w:after="0" w:line="360" w:lineRule="auto"/>
        <w:ind w:firstLine="720"/>
        <w:jc w:val="both"/>
        <w:rPr>
          <w:rFonts w:ascii="Arial" w:eastAsia="Arial Unicode MS" w:hAnsi="Arial" w:cs="Arial"/>
          <w:kern w:val="0"/>
          <w:sz w:val="24"/>
          <w:szCs w:val="24"/>
          <w14:ligatures w14:val="none"/>
        </w:rPr>
      </w:pPr>
      <w:r>
        <w:rPr>
          <w:rFonts w:ascii="Arial" w:eastAsia="Arial" w:hAnsi="Arial" w:cs="Arial"/>
          <w:kern w:val="0"/>
          <w:sz w:val="24"/>
          <w:szCs w:val="24"/>
          <w:lang w:val="zh-CN"/>
          <w14:ligatures w14:val="none"/>
        </w:rPr>
        <w:t>Esto, incluso más allá de la universidad, significa y hace que la formación de ciudadanos y de personas sea más enriquecida mientras más se conviva con el otro. Es necesario partir de la premisa de que toda universidad debe tener como objetivo principal “la impartición de conocimiento e ideas para estimular a los individuos a analizar y reflexionar acerca de los contenidos que están aprendiendo, así como en su propia identidad y comunidad” (Lenz, 2010:3).</w:t>
      </w:r>
    </w:p>
    <w:p w14:paraId="109212B6" w14:textId="77777777" w:rsidR="0093626A" w:rsidRDefault="0093626A" w:rsidP="005915A7">
      <w:pPr>
        <w:spacing w:after="0" w:line="360" w:lineRule="auto"/>
        <w:ind w:firstLine="720"/>
        <w:jc w:val="both"/>
        <w:rPr>
          <w:rFonts w:ascii="Arial" w:eastAsia="Arial" w:hAnsi="Arial" w:cs="Arial"/>
          <w:kern w:val="0"/>
          <w:sz w:val="24"/>
          <w:szCs w:val="24"/>
          <w:lang w:val="zh-CN"/>
          <w14:ligatures w14:val="none"/>
        </w:rPr>
      </w:pPr>
    </w:p>
    <w:p w14:paraId="4EE478CD" w14:textId="77777777" w:rsidR="0093626A" w:rsidRPr="00634580" w:rsidRDefault="00000000" w:rsidP="005915A7">
      <w:pPr>
        <w:spacing w:after="0" w:line="360" w:lineRule="auto"/>
        <w:ind w:firstLine="720"/>
        <w:jc w:val="both"/>
        <w:rPr>
          <w:rFonts w:ascii="Arial" w:eastAsia="Arial Unicode MS" w:hAnsi="Arial" w:cs="Arial"/>
          <w:kern w:val="0"/>
          <w:sz w:val="24"/>
          <w:szCs w:val="24"/>
          <w14:ligatures w14:val="none"/>
        </w:rPr>
      </w:pPr>
      <w:r>
        <w:rPr>
          <w:rFonts w:ascii="Arial" w:eastAsia="Arial" w:hAnsi="Arial" w:cs="Arial"/>
          <w:kern w:val="0"/>
          <w:sz w:val="24"/>
          <w:szCs w:val="24"/>
          <w:lang w:val="zh-CN"/>
          <w14:ligatures w14:val="none"/>
        </w:rPr>
        <w:t xml:space="preserve">Si bien se ha demostrado que las universidades han priorizado en sus intereses la internacionalización de sus grupos desde finales del siglo XX, estas han sido con fines económicos más que de formación. Esto se ha visto a través del problema que se enfrentan los análisis de la internacionalización en las universidades cuando las mediciones y observaciones que dan estas instituciones son de carácter estadístico y financiero. Lenz (2011) menciona que </w:t>
      </w:r>
    </w:p>
    <w:p w14:paraId="2DFB4284" w14:textId="77777777" w:rsidR="0093626A" w:rsidRPr="00634580" w:rsidRDefault="00000000" w:rsidP="005915A7">
      <w:pPr>
        <w:spacing w:after="0" w:line="360" w:lineRule="auto"/>
        <w:ind w:firstLine="720"/>
        <w:jc w:val="both"/>
        <w:rPr>
          <w:rFonts w:ascii="Arial" w:eastAsia="Arial Unicode MS" w:hAnsi="Arial" w:cs="Arial"/>
          <w:kern w:val="0"/>
          <w:sz w:val="24"/>
          <w:szCs w:val="24"/>
          <w14:ligatures w14:val="none"/>
        </w:rPr>
      </w:pPr>
      <w:r w:rsidRPr="00634580">
        <w:rPr>
          <w:rFonts w:ascii="Arial" w:eastAsia="Arial" w:hAnsi="Arial" w:cs="Arial"/>
          <w:kern w:val="0"/>
          <w:sz w:val="24"/>
          <w:szCs w:val="24"/>
          <w:lang w:val="zh-CN"/>
          <w14:ligatures w14:val="none"/>
        </w:rPr>
        <w:t xml:space="preserve"> </w:t>
      </w:r>
    </w:p>
    <w:p w14:paraId="1B3386F7" w14:textId="77777777" w:rsidR="0093626A" w:rsidRPr="00634580" w:rsidRDefault="00000000" w:rsidP="005915A7">
      <w:pPr>
        <w:spacing w:after="0" w:line="360" w:lineRule="auto"/>
        <w:ind w:left="720"/>
        <w:jc w:val="both"/>
        <w:rPr>
          <w:rFonts w:ascii="Arial" w:eastAsia="Arial Unicode MS" w:hAnsi="Arial" w:cs="Arial"/>
          <w:kern w:val="0"/>
          <w:sz w:val="24"/>
          <w:szCs w:val="24"/>
          <w14:ligatures w14:val="none"/>
        </w:rPr>
      </w:pPr>
      <w:r w:rsidRPr="00634580">
        <w:rPr>
          <w:rFonts w:ascii="Arial" w:eastAsia="Arial" w:hAnsi="Arial" w:cs="Arial"/>
          <w:kern w:val="0"/>
          <w:sz w:val="24"/>
          <w:szCs w:val="24"/>
          <w:lang w:val="zh-CN"/>
          <w14:ligatures w14:val="none"/>
        </w:rPr>
        <w:t xml:space="preserve">[...] la estandarización de procesos ha convertido al aprendizaje en productos homogéneos y comerciables que pueden ser fácilmente medidos, vendidos, comparados e intercambiados en los mercados educativos. </w:t>
      </w:r>
    </w:p>
    <w:p w14:paraId="22CD705F" w14:textId="77777777" w:rsidR="0093626A" w:rsidRPr="00634580" w:rsidRDefault="00000000" w:rsidP="005915A7">
      <w:pPr>
        <w:spacing w:after="0" w:line="360" w:lineRule="auto"/>
        <w:jc w:val="both"/>
        <w:rPr>
          <w:rFonts w:ascii="Arial" w:eastAsia="Arial Unicode MS" w:hAnsi="Arial" w:cs="Arial"/>
          <w:kern w:val="0"/>
          <w:sz w:val="24"/>
          <w:szCs w:val="24"/>
          <w14:ligatures w14:val="none"/>
        </w:rPr>
      </w:pPr>
      <w:r w:rsidRPr="00634580">
        <w:rPr>
          <w:rFonts w:ascii="Arial" w:eastAsia="Arial" w:hAnsi="Arial" w:cs="Arial"/>
          <w:kern w:val="0"/>
          <w:sz w:val="24"/>
          <w:szCs w:val="24"/>
          <w:lang w:val="zh-CN"/>
          <w14:ligatures w14:val="none"/>
        </w:rPr>
        <w:t xml:space="preserve"> </w:t>
      </w:r>
    </w:p>
    <w:p w14:paraId="3E5CC0A8" w14:textId="77777777" w:rsidR="0093626A" w:rsidRPr="00634580" w:rsidRDefault="00000000" w:rsidP="005915A7">
      <w:pPr>
        <w:spacing w:after="0" w:line="360" w:lineRule="auto"/>
        <w:ind w:firstLine="720"/>
        <w:jc w:val="both"/>
        <w:rPr>
          <w:rFonts w:ascii="Arial" w:eastAsia="Arial Unicode MS" w:hAnsi="Arial" w:cs="Arial"/>
          <w:kern w:val="0"/>
          <w:sz w:val="24"/>
          <w:szCs w:val="24"/>
          <w14:ligatures w14:val="none"/>
        </w:rPr>
      </w:pPr>
      <w:r>
        <w:rPr>
          <w:rFonts w:ascii="Arial" w:eastAsia="Arial" w:hAnsi="Arial" w:cs="Arial"/>
          <w:kern w:val="0"/>
          <w:sz w:val="24"/>
          <w:szCs w:val="24"/>
          <w:lang w:val="zh-CN"/>
          <w14:ligatures w14:val="none"/>
        </w:rPr>
        <w:t>Así mismo, Lenz observa que existe un problema mayor que tiene que ver con las políticas educativas y el modelo económico existente, que reduce la educación y la formación de personas precisamente a cifras para desvalorarlas:</w:t>
      </w:r>
    </w:p>
    <w:p w14:paraId="0757C633" w14:textId="77777777" w:rsidR="0093626A" w:rsidRDefault="0093626A" w:rsidP="005915A7">
      <w:pPr>
        <w:spacing w:after="0" w:line="360" w:lineRule="auto"/>
        <w:ind w:left="720"/>
        <w:jc w:val="both"/>
        <w:rPr>
          <w:rFonts w:ascii="Arial" w:eastAsia="Arial" w:hAnsi="Arial" w:cs="Arial"/>
          <w:kern w:val="0"/>
          <w:sz w:val="24"/>
          <w:szCs w:val="24"/>
          <w:lang w:val="zh-CN"/>
          <w14:ligatures w14:val="none"/>
        </w:rPr>
      </w:pPr>
    </w:p>
    <w:p w14:paraId="4D5B4BD9" w14:textId="124512C3" w:rsidR="0093626A" w:rsidRPr="00634580" w:rsidRDefault="00000000" w:rsidP="005915A7">
      <w:pPr>
        <w:spacing w:after="0" w:line="360" w:lineRule="auto"/>
        <w:ind w:left="720"/>
        <w:jc w:val="both"/>
        <w:rPr>
          <w:rFonts w:ascii="Arial" w:eastAsia="Arial" w:hAnsi="Arial" w:cs="Arial"/>
          <w:kern w:val="0"/>
          <w:sz w:val="24"/>
          <w:szCs w:val="24"/>
          <w:lang w:val="zh-CN"/>
          <w14:ligatures w14:val="none"/>
        </w:rPr>
      </w:pPr>
      <w:r>
        <w:rPr>
          <w:rFonts w:ascii="Arial" w:eastAsia="Arial" w:hAnsi="Arial" w:cs="Arial"/>
          <w:kern w:val="0"/>
          <w:sz w:val="24"/>
          <w:szCs w:val="24"/>
          <w:lang w:val="zh-CN"/>
          <w14:ligatures w14:val="none"/>
        </w:rPr>
        <w:t xml:space="preserve"> </w:t>
      </w:r>
      <w:r w:rsidRPr="00634580">
        <w:rPr>
          <w:rFonts w:ascii="Arial" w:eastAsia="Arial" w:hAnsi="Arial" w:cs="Arial"/>
          <w:kern w:val="0"/>
          <w:sz w:val="24"/>
          <w:szCs w:val="24"/>
          <w:lang w:val="zh-CN"/>
          <w14:ligatures w14:val="none"/>
        </w:rPr>
        <w:t>La máxima dominante en las ciencias industriales parecen ser que: lo que importa puede ser medido, que, al mismo tiempo, implica el contrario: lo que no puede ser medido no importa.” (Prange, 2004, pág 501. Esta máxima es aplicada a todo campo de la educación superior,así como en la internacionalización universitaria.</w:t>
      </w:r>
    </w:p>
    <w:p w14:paraId="42799BF3" w14:textId="77777777" w:rsidR="0093626A" w:rsidRPr="00634580" w:rsidRDefault="00000000" w:rsidP="005915A7">
      <w:pPr>
        <w:spacing w:after="0" w:line="360" w:lineRule="auto"/>
        <w:jc w:val="both"/>
        <w:rPr>
          <w:rFonts w:ascii="Arial" w:eastAsia="Arial Unicode MS" w:hAnsi="Arial" w:cs="Arial"/>
          <w:kern w:val="0"/>
          <w:sz w:val="24"/>
          <w:szCs w:val="24"/>
          <w14:ligatures w14:val="none"/>
        </w:rPr>
      </w:pPr>
      <w:r w:rsidRPr="00634580">
        <w:rPr>
          <w:rFonts w:ascii="Arial" w:eastAsia="Arial" w:hAnsi="Arial" w:cs="Arial"/>
          <w:kern w:val="0"/>
          <w:sz w:val="24"/>
          <w:szCs w:val="24"/>
          <w:lang w:val="zh-CN"/>
          <w14:ligatures w14:val="none"/>
        </w:rPr>
        <w:t xml:space="preserve"> </w:t>
      </w:r>
    </w:p>
    <w:p w14:paraId="4E608421" w14:textId="77777777" w:rsidR="0093626A" w:rsidRPr="00634580" w:rsidRDefault="00000000" w:rsidP="005915A7">
      <w:pPr>
        <w:spacing w:after="0" w:line="360" w:lineRule="auto"/>
        <w:ind w:firstLine="720"/>
        <w:jc w:val="both"/>
        <w:rPr>
          <w:rFonts w:ascii="Arial" w:eastAsia="Arial Unicode MS" w:hAnsi="Arial" w:cs="Arial"/>
          <w:kern w:val="0"/>
          <w:sz w:val="24"/>
          <w:szCs w:val="24"/>
          <w14:ligatures w14:val="none"/>
        </w:rPr>
      </w:pPr>
      <w:r>
        <w:rPr>
          <w:rFonts w:ascii="Arial" w:eastAsia="Arial" w:hAnsi="Arial" w:cs="Arial"/>
          <w:kern w:val="0"/>
          <w:sz w:val="24"/>
          <w:szCs w:val="24"/>
          <w:lang w:val="zh-CN"/>
          <w14:ligatures w14:val="none"/>
        </w:rPr>
        <w:lastRenderedPageBreak/>
        <w:t>Este problema mayor corresponde con una concepción de la educación a partir precisamente de los modelos económicos y los discursos del poder hegemónico que transforma la valoración de la educación como un bien comercial más que social, sobre lo cual mencionan Sánchez y Romero (2022:452-453):</w:t>
      </w:r>
    </w:p>
    <w:p w14:paraId="67B9D16F" w14:textId="77777777" w:rsidR="0093626A" w:rsidRPr="00634580" w:rsidRDefault="00000000" w:rsidP="005915A7">
      <w:pPr>
        <w:spacing w:after="0" w:line="360" w:lineRule="auto"/>
        <w:jc w:val="both"/>
        <w:rPr>
          <w:rFonts w:ascii="Arial" w:eastAsia="Arial Unicode MS" w:hAnsi="Arial" w:cs="Arial"/>
          <w:kern w:val="0"/>
          <w:sz w:val="24"/>
          <w:szCs w:val="24"/>
          <w14:ligatures w14:val="none"/>
        </w:rPr>
      </w:pPr>
      <w:r w:rsidRPr="00634580">
        <w:rPr>
          <w:rFonts w:ascii="Arial" w:eastAsia="Arial" w:hAnsi="Arial" w:cs="Arial"/>
          <w:kern w:val="0"/>
          <w:sz w:val="24"/>
          <w:szCs w:val="24"/>
          <w:lang w:val="zh-CN"/>
          <w14:ligatures w14:val="none"/>
        </w:rPr>
        <w:t xml:space="preserve"> </w:t>
      </w:r>
    </w:p>
    <w:p w14:paraId="5EA47B4B" w14:textId="77777777" w:rsidR="0093626A" w:rsidRPr="00634580" w:rsidRDefault="00000000" w:rsidP="00634580">
      <w:pPr>
        <w:spacing w:after="0" w:line="360" w:lineRule="auto"/>
        <w:ind w:firstLine="708"/>
        <w:jc w:val="both"/>
        <w:rPr>
          <w:rFonts w:ascii="Arial" w:eastAsia="Arial" w:hAnsi="Arial" w:cs="Arial"/>
          <w:kern w:val="0"/>
          <w:sz w:val="24"/>
          <w:szCs w:val="24"/>
          <w:lang w:val="zh-CN"/>
          <w14:ligatures w14:val="none"/>
        </w:rPr>
      </w:pPr>
      <w:r w:rsidRPr="00634580">
        <w:rPr>
          <w:rFonts w:ascii="Arial" w:eastAsia="Arial" w:hAnsi="Arial" w:cs="Arial"/>
          <w:kern w:val="0"/>
          <w:sz w:val="24"/>
          <w:szCs w:val="24"/>
          <w:lang w:val="zh-CN"/>
          <w14:ligatures w14:val="none"/>
        </w:rPr>
        <w:t>Desde la perspectiva de De Sousa (2021), existe un “capitalismo educativo” que cambia la manera en que se produce la universidad como un bien público transformándola “en un terreno vasto y muy rentable” (De Sousa, 2021, p.138), en donde las universidades son vistas como empresas que producen como un mercado de servicios educativos (De Sousa, 2021), atienden su demanda, sus prioridades e intereses y moldean al estudiantado para adquirir las competencias que éste requiere para que sean trabajadores “bien calificados”.</w:t>
      </w:r>
    </w:p>
    <w:p w14:paraId="671AE2A1" w14:textId="77777777" w:rsidR="0093626A" w:rsidRPr="00634580" w:rsidRDefault="00000000" w:rsidP="005915A7">
      <w:pPr>
        <w:spacing w:after="0" w:line="360" w:lineRule="auto"/>
        <w:jc w:val="both"/>
        <w:rPr>
          <w:rFonts w:ascii="Arial" w:eastAsia="Arial Unicode MS" w:hAnsi="Arial" w:cs="Arial"/>
          <w:kern w:val="0"/>
          <w:sz w:val="24"/>
          <w:szCs w:val="24"/>
          <w14:ligatures w14:val="none"/>
        </w:rPr>
      </w:pPr>
      <w:r w:rsidRPr="00634580">
        <w:rPr>
          <w:rFonts w:ascii="Arial" w:eastAsia="Arial" w:hAnsi="Arial" w:cs="Arial"/>
          <w:kern w:val="0"/>
          <w:sz w:val="24"/>
          <w:szCs w:val="24"/>
          <w:lang w:val="zh-CN"/>
          <w14:ligatures w14:val="none"/>
        </w:rPr>
        <w:t xml:space="preserve"> </w:t>
      </w:r>
    </w:p>
    <w:p w14:paraId="0D753A65" w14:textId="77777777" w:rsidR="0093626A" w:rsidRPr="00634580" w:rsidRDefault="00000000" w:rsidP="005915A7">
      <w:pPr>
        <w:spacing w:after="0" w:line="360" w:lineRule="auto"/>
        <w:ind w:firstLine="720"/>
        <w:jc w:val="both"/>
        <w:rPr>
          <w:rFonts w:ascii="Arial" w:eastAsia="Arial Unicode MS" w:hAnsi="Arial" w:cs="Arial"/>
          <w:kern w:val="0"/>
          <w:sz w:val="24"/>
          <w:szCs w:val="24"/>
          <w14:ligatures w14:val="none"/>
        </w:rPr>
      </w:pPr>
      <w:r>
        <w:rPr>
          <w:rFonts w:ascii="Arial" w:eastAsia="Arial" w:hAnsi="Arial" w:cs="Arial"/>
          <w:kern w:val="0"/>
          <w:sz w:val="24"/>
          <w:szCs w:val="24"/>
          <w:lang w:val="zh-CN"/>
          <w14:ligatures w14:val="none"/>
        </w:rPr>
        <w:t xml:space="preserve">Beck y Beck (2001, citados por Mayer 2012) sostienen que la globalización cambia las formas de pensar y percibir el mundo y las respuestas que los agentes sociales e instituciones intentan dar a un mundo que se torna cada vez más incierto e inestable, con la necesidad de responder a múltiples desafíos. Es por eso que los esfuerzos globalizadores de la educación en las últimas décadas se han presentado, sobre todo, del lado de las políticas neoliberales de organismos como la Organización para la Cooperación y el Desarrollo Económico (OCDE) el Foro Económico Mundial, o en instancias como el consenso de Washington y el Proceso de Bolonia “desde las cuales se establece el llamado “orden mundial”, a partir de modelos de multilateralismo integrados por un pequeño número de países que defienden sus intereses y posicionan sus prioridades en dicho orden mundial.” (Sánchez y Romero, 2022: 450).  Estas políticas favorecieron en muchos sentidos el crecimiento económico, los tratados internacionales, los acuerdos regionales y el intercambio dentro de todo lo cual, la educación era un elemento esencial (López y Sanmartín, 2004). Sin embargo, y pese a sus enormes beneficios, la globalización en educación no ha alcanzado a todos los grupos de manera igual y existen grupos que no han tenido acceso a la posibilidad de competir, donde la expansión de la educación no necesariamente ha logrado su objetivo de ser motor del desarrollo </w:t>
      </w:r>
      <w:r>
        <w:rPr>
          <w:rFonts w:ascii="Arial" w:eastAsia="Arial" w:hAnsi="Arial" w:cs="Arial"/>
          <w:kern w:val="0"/>
          <w:sz w:val="24"/>
          <w:szCs w:val="24"/>
          <w:lang w:val="zh-CN"/>
          <w14:ligatures w14:val="none"/>
        </w:rPr>
        <w:lastRenderedPageBreak/>
        <w:t>económico (Bonal, 2009), o donde los procesos coloniales han sido la fuente de problemáticas sociales que establecen relaciones de poder hegemónico. Al respecto, Sanchez y Romero (2022) mencionan, particularmente sobre América Latina que estos países padecen de manera directa los efectos de dicho modelo tales como la desigualdad estructural y el alto porcentaje de su población en situación de pobreza y extrema pobreza, lo que repercute desfavorablemente en el acceso a la educación superior.</w:t>
      </w:r>
    </w:p>
    <w:p w14:paraId="654DEA7D" w14:textId="77777777" w:rsidR="0093626A" w:rsidRDefault="0093626A" w:rsidP="005915A7">
      <w:pPr>
        <w:spacing w:after="0" w:line="360" w:lineRule="auto"/>
        <w:ind w:firstLine="720"/>
        <w:jc w:val="both"/>
        <w:rPr>
          <w:rFonts w:ascii="Arial" w:eastAsia="Arial" w:hAnsi="Arial" w:cs="Arial"/>
          <w:kern w:val="0"/>
          <w:sz w:val="24"/>
          <w:szCs w:val="24"/>
          <w:lang w:val="zh-CN"/>
          <w14:ligatures w14:val="none"/>
        </w:rPr>
      </w:pPr>
    </w:p>
    <w:p w14:paraId="7929A748" w14:textId="77777777" w:rsidR="0093626A" w:rsidRPr="00634580" w:rsidRDefault="00000000" w:rsidP="005915A7">
      <w:pPr>
        <w:spacing w:after="0" w:line="360" w:lineRule="auto"/>
        <w:ind w:firstLine="720"/>
        <w:jc w:val="both"/>
        <w:rPr>
          <w:rFonts w:ascii="Arial" w:eastAsia="Arial Unicode MS" w:hAnsi="Arial" w:cs="Arial"/>
          <w:kern w:val="0"/>
          <w:sz w:val="24"/>
          <w:szCs w:val="24"/>
          <w14:ligatures w14:val="none"/>
        </w:rPr>
      </w:pPr>
      <w:r>
        <w:rPr>
          <w:rFonts w:ascii="Arial" w:eastAsia="Arial" w:hAnsi="Arial" w:cs="Arial"/>
          <w:kern w:val="0"/>
          <w:sz w:val="24"/>
          <w:szCs w:val="24"/>
          <w:lang w:val="zh-CN"/>
          <w14:ligatures w14:val="none"/>
        </w:rPr>
        <w:t>La internacionalización vinculada a los modelos económicos más que a la formación de ciudadanos y el cumplimiento de los objetivos de las universidades también repercute en que los países que han sufrido explotaciones y procesos coloniales, presenten una desigualdad estructural que los deja de lado en el aumento de casos de internacionalización en el mundo. Esto es reforzado en una de las premisas de las visiones decolonialistas de la internacionalización hechas por Sánchez y Romero (2022:448)</w:t>
      </w:r>
    </w:p>
    <w:p w14:paraId="4E03683F" w14:textId="77777777" w:rsidR="0093626A" w:rsidRDefault="0093626A" w:rsidP="005915A7">
      <w:pPr>
        <w:spacing w:after="0" w:line="360" w:lineRule="auto"/>
        <w:ind w:left="720"/>
        <w:jc w:val="both"/>
        <w:rPr>
          <w:rFonts w:ascii="Arial" w:eastAsia="Arial" w:hAnsi="Arial" w:cs="Arial"/>
          <w:kern w:val="0"/>
          <w:sz w:val="24"/>
          <w:szCs w:val="24"/>
          <w:lang w:val="zh-CN"/>
          <w14:ligatures w14:val="none"/>
        </w:rPr>
      </w:pPr>
    </w:p>
    <w:p w14:paraId="73C312B9" w14:textId="77777777" w:rsidR="0093626A" w:rsidRPr="00634580" w:rsidRDefault="00000000" w:rsidP="005915A7">
      <w:pPr>
        <w:spacing w:after="0" w:line="360" w:lineRule="auto"/>
        <w:ind w:left="720"/>
        <w:jc w:val="both"/>
        <w:rPr>
          <w:rFonts w:ascii="Arial" w:eastAsia="Arial Unicode MS" w:hAnsi="Arial" w:cs="Arial"/>
          <w:kern w:val="0"/>
          <w:sz w:val="24"/>
          <w:szCs w:val="24"/>
          <w14:ligatures w14:val="none"/>
        </w:rPr>
      </w:pPr>
      <w:r w:rsidRPr="00634580">
        <w:rPr>
          <w:rFonts w:ascii="Arial" w:eastAsia="Arial" w:hAnsi="Arial" w:cs="Arial"/>
          <w:kern w:val="0"/>
          <w:sz w:val="24"/>
          <w:szCs w:val="24"/>
          <w:lang w:val="zh-CN"/>
          <w14:ligatures w14:val="none"/>
        </w:rPr>
        <w:t xml:space="preserve">El modelo de desarrollo hegemónico globalizado capitalista ha determinado el tipo de economías de la mayoría de los países en el mundo, sobre todo en Occidente. Dicho modelo ha permeado todos sectores de la sociedad, entre ellos el de la educación superior, instaurando en ella un valor comercial más que social y posicionándola como un bien mercantil y no como un bien público. </w:t>
      </w:r>
    </w:p>
    <w:p w14:paraId="1DB23B3F" w14:textId="77777777" w:rsidR="0093626A" w:rsidRPr="00634580" w:rsidRDefault="0093626A" w:rsidP="005915A7">
      <w:pPr>
        <w:spacing w:after="0" w:line="360" w:lineRule="auto"/>
        <w:ind w:left="720"/>
        <w:jc w:val="both"/>
        <w:rPr>
          <w:rFonts w:ascii="Arial" w:eastAsia="Arial" w:hAnsi="Arial" w:cs="Arial"/>
          <w:kern w:val="0"/>
          <w:sz w:val="24"/>
          <w:szCs w:val="24"/>
          <w:lang w:val="zh-CN"/>
          <w14:ligatures w14:val="none"/>
        </w:rPr>
      </w:pPr>
    </w:p>
    <w:p w14:paraId="59979310" w14:textId="77777777" w:rsidR="0093626A" w:rsidRPr="00634580" w:rsidRDefault="00000000" w:rsidP="005915A7">
      <w:pPr>
        <w:spacing w:after="0" w:line="360" w:lineRule="auto"/>
        <w:ind w:firstLine="720"/>
        <w:jc w:val="both"/>
        <w:rPr>
          <w:rFonts w:ascii="Arial" w:eastAsia="Arial Unicode MS" w:hAnsi="Arial" w:cs="Arial"/>
          <w:kern w:val="0"/>
          <w:sz w:val="24"/>
          <w:szCs w:val="24"/>
          <w14:ligatures w14:val="none"/>
        </w:rPr>
      </w:pPr>
      <w:r>
        <w:rPr>
          <w:rFonts w:ascii="Arial" w:eastAsia="Arial" w:hAnsi="Arial" w:cs="Arial"/>
          <w:kern w:val="0"/>
          <w:sz w:val="24"/>
          <w:szCs w:val="24"/>
          <w:lang w:val="zh-CN"/>
          <w14:ligatures w14:val="none"/>
        </w:rPr>
        <w:t xml:space="preserve">El problema de los aparatos para medir la internacionalización que las mismas universidades empiezan a detectar, como el caso de los textos citados de Lenz (2010) son consecuencia de la mercantilización de la educación. Por ello, las propuestas decolonialistas que conciben a la educación como un derecho humano, es decir, como un bien público que implica que es para todas las personas, no solo para quienes pueden pagar por ella, proponen que las Instituciones de Estudios Superiores (IES) desde sus respectivos entornos inmediatos y en diálogo con los actores locales, recuperen la lectura estratégica de sus territorios y de sus </w:t>
      </w:r>
      <w:r>
        <w:rPr>
          <w:rFonts w:ascii="Arial" w:eastAsia="Arial" w:hAnsi="Arial" w:cs="Arial"/>
          <w:kern w:val="0"/>
          <w:sz w:val="24"/>
          <w:szCs w:val="24"/>
          <w:lang w:val="zh-CN"/>
          <w14:ligatures w14:val="none"/>
        </w:rPr>
        <w:lastRenderedPageBreak/>
        <w:t>realidades y necesidades, a fin de redimensionar su rol y responsabilidad social desde un pensamiento crítico basado en perspectivas descolonizadoras, endógenas, incluyentes y desde la pluriversidad (Sánchez y Romero,  2022).</w:t>
      </w:r>
    </w:p>
    <w:p w14:paraId="26F1A8FA" w14:textId="77777777" w:rsidR="0093626A" w:rsidRDefault="0093626A" w:rsidP="005915A7">
      <w:pPr>
        <w:spacing w:after="0" w:line="360" w:lineRule="auto"/>
        <w:ind w:firstLine="720"/>
        <w:jc w:val="both"/>
        <w:rPr>
          <w:rFonts w:ascii="Arial" w:eastAsia="Arial" w:hAnsi="Arial" w:cs="Arial"/>
          <w:kern w:val="0"/>
          <w:sz w:val="24"/>
          <w:szCs w:val="24"/>
          <w:lang w:val="zh-CN"/>
          <w14:ligatures w14:val="none"/>
        </w:rPr>
      </w:pPr>
    </w:p>
    <w:p w14:paraId="45B9839B" w14:textId="74F72071" w:rsidR="0093626A" w:rsidRPr="00634580" w:rsidRDefault="00000000" w:rsidP="00634580">
      <w:pPr>
        <w:spacing w:after="0" w:line="360" w:lineRule="auto"/>
        <w:ind w:firstLine="720"/>
        <w:jc w:val="both"/>
        <w:rPr>
          <w:rFonts w:ascii="Arial" w:eastAsia="Arial Unicode MS" w:hAnsi="Arial" w:cs="Arial"/>
          <w:kern w:val="0"/>
          <w:sz w:val="24"/>
          <w:szCs w:val="24"/>
          <w14:ligatures w14:val="none"/>
        </w:rPr>
      </w:pPr>
      <w:r>
        <w:rPr>
          <w:rFonts w:ascii="Arial" w:eastAsia="Arial" w:hAnsi="Arial" w:cs="Arial"/>
          <w:kern w:val="0"/>
          <w:sz w:val="24"/>
          <w:szCs w:val="24"/>
          <w14:ligatures w14:val="none"/>
        </w:rPr>
        <w:t>D</w:t>
      </w:r>
      <w:r>
        <w:rPr>
          <w:rFonts w:ascii="Arial" w:eastAsia="Arial" w:hAnsi="Arial" w:cs="Arial"/>
          <w:kern w:val="0"/>
          <w:sz w:val="24"/>
          <w:szCs w:val="24"/>
          <w:lang w:val="zh-CN"/>
          <w14:ligatures w14:val="none"/>
        </w:rPr>
        <w:t>esde 2006, Altbach y Knight señalaban que la internacionalización va de la mano con los modelos económicos y las universidades se alinean a las necesidades de los mercados.</w:t>
      </w:r>
      <w:r>
        <w:rPr>
          <w:rFonts w:ascii="Arial" w:eastAsia="Arial" w:hAnsi="Arial" w:cs="Arial"/>
          <w:kern w:val="0"/>
          <w:sz w:val="24"/>
          <w:szCs w:val="24"/>
          <w14:ligatures w14:val="none"/>
        </w:rPr>
        <w:t xml:space="preserve"> E</w:t>
      </w:r>
      <w:r w:rsidRPr="00634580">
        <w:rPr>
          <w:rFonts w:ascii="Arial" w:eastAsia="Arial" w:hAnsi="Arial" w:cs="Arial"/>
          <w:kern w:val="0"/>
          <w:sz w:val="24"/>
          <w:szCs w:val="24"/>
          <w:lang w:val="zh-CN"/>
          <w14:ligatures w14:val="none"/>
        </w:rPr>
        <w:t xml:space="preserve">n los años recientes se ha presentado un avance exponencial en las estructuras y procesos que facilitan la movilidad desde un punto de vista global congruente con la tendencia actual del orden económico y sistémico, donde las universidades enfrentan el reto de reinventar no sólo sus programas académicos, sino de actualizar sus esquemas y comenzar a preparar a los estudiantes para las condiciones a las que ellos tendrán que enfrentarse. </w:t>
      </w:r>
    </w:p>
    <w:p w14:paraId="78FAAB25" w14:textId="77777777" w:rsidR="0093626A" w:rsidRPr="00634580" w:rsidRDefault="00000000" w:rsidP="00634580">
      <w:pPr>
        <w:spacing w:after="0" w:line="360" w:lineRule="auto"/>
        <w:jc w:val="both"/>
        <w:rPr>
          <w:rFonts w:ascii="Arial" w:eastAsia="Arial Unicode MS" w:hAnsi="Arial" w:cs="Arial"/>
          <w:kern w:val="0"/>
          <w:sz w:val="24"/>
          <w:szCs w:val="24"/>
          <w14:ligatures w14:val="none"/>
        </w:rPr>
      </w:pPr>
      <w:r w:rsidRPr="00634580">
        <w:rPr>
          <w:rFonts w:ascii="Arial" w:eastAsia="Times New Roman" w:hAnsi="Arial" w:cs="Arial"/>
          <w:kern w:val="0"/>
          <w:sz w:val="24"/>
          <w:szCs w:val="24"/>
          <w:lang w:val="es-ES"/>
          <w14:ligatures w14:val="none"/>
        </w:rPr>
        <w:t xml:space="preserve"> </w:t>
      </w:r>
    </w:p>
    <w:p w14:paraId="4384A27A" w14:textId="77777777" w:rsidR="0093626A" w:rsidRDefault="00000000" w:rsidP="00634580">
      <w:pPr>
        <w:spacing w:after="0" w:line="360" w:lineRule="auto"/>
        <w:jc w:val="both"/>
        <w:rPr>
          <w:rFonts w:ascii="Arial" w:eastAsia="Arial" w:hAnsi="Arial" w:cs="Arial"/>
          <w:b/>
          <w:bCs/>
          <w:kern w:val="0"/>
          <w:sz w:val="24"/>
          <w:szCs w:val="24"/>
          <w:lang w:val="zh-CN"/>
          <w14:ligatures w14:val="none"/>
        </w:rPr>
      </w:pPr>
      <w:r>
        <w:rPr>
          <w:rFonts w:ascii="Arial" w:eastAsia="Arial" w:hAnsi="Arial" w:cs="Arial"/>
          <w:b/>
          <w:bCs/>
          <w:kern w:val="0"/>
          <w:sz w:val="24"/>
          <w:szCs w:val="24"/>
          <w:lang w:val="zh-CN"/>
          <w14:ligatures w14:val="none"/>
        </w:rPr>
        <w:t>Movilidad laboral en mexicanos</w:t>
      </w:r>
    </w:p>
    <w:p w14:paraId="5259FBDC" w14:textId="0FE49942" w:rsidR="0093626A" w:rsidRDefault="00000000" w:rsidP="005915A7">
      <w:pPr>
        <w:spacing w:after="0" w:line="360" w:lineRule="auto"/>
        <w:ind w:firstLine="720"/>
        <w:jc w:val="both"/>
        <w:rPr>
          <w:rFonts w:ascii="Arial" w:eastAsia="Arial" w:hAnsi="Arial" w:cs="Arial"/>
          <w:kern w:val="0"/>
          <w:sz w:val="24"/>
          <w:szCs w:val="24"/>
          <w:lang w:val="zh-CN"/>
          <w14:ligatures w14:val="none"/>
        </w:rPr>
      </w:pPr>
      <w:r>
        <w:rPr>
          <w:rFonts w:ascii="Arial" w:eastAsia="Arial" w:hAnsi="Arial" w:cs="Arial"/>
          <w:kern w:val="0"/>
          <w:sz w:val="24"/>
          <w:szCs w:val="24"/>
          <w:lang w:val="zh-CN"/>
          <w14:ligatures w14:val="none"/>
        </w:rPr>
        <w:t>El primer acercamiento hacia la movilidad laboral en mexicanos tiene que ver con el proceso por el cual una empresa comienza exportando sus productos a otros países, luego abre sucursales en otros y finalmente crea filiales para producir en otros países.</w:t>
      </w:r>
      <w:r>
        <w:rPr>
          <w:rFonts w:ascii="Arial" w:eastAsia="Arial" w:hAnsi="Arial" w:cs="Arial"/>
          <w:kern w:val="0"/>
          <w:sz w:val="24"/>
          <w:szCs w:val="24"/>
          <w14:ligatures w14:val="none"/>
        </w:rPr>
        <w:t xml:space="preserve"> </w:t>
      </w:r>
      <w:r w:rsidRPr="00634580">
        <w:rPr>
          <w:rFonts w:ascii="Arial" w:eastAsia="Arial" w:hAnsi="Arial" w:cs="Arial"/>
          <w:kern w:val="0"/>
          <w:sz w:val="24"/>
          <w:szCs w:val="24"/>
          <w:lang w:val="zh-CN"/>
          <w14:ligatures w14:val="none"/>
        </w:rPr>
        <w:t>Sanchez y Zedillo (2022) observan el papel estratégico y fundamental que tiene México en procesos migratorios, desde su posición geopolítica, así como el constante flujo de migrantes mexicanos que se dirigen a países como Estados Unidos y Canadá, así como el paso de migrantes de otras naciones por el territorio nacional hace que se legisle a partir de las necesidades económicas del país así como de las mismas personas en transición.</w:t>
      </w:r>
    </w:p>
    <w:p w14:paraId="61200315" w14:textId="77777777" w:rsidR="0093626A" w:rsidRPr="00634580" w:rsidRDefault="00000000" w:rsidP="005915A7">
      <w:pPr>
        <w:spacing w:after="0" w:line="360" w:lineRule="auto"/>
        <w:ind w:firstLine="720"/>
        <w:jc w:val="both"/>
        <w:rPr>
          <w:rFonts w:ascii="Arial" w:eastAsia="Arial Unicode MS" w:hAnsi="Arial" w:cs="Arial"/>
          <w:kern w:val="0"/>
          <w:sz w:val="24"/>
          <w:szCs w:val="24"/>
          <w14:ligatures w14:val="none"/>
        </w:rPr>
      </w:pPr>
      <w:r w:rsidRPr="00634580">
        <w:rPr>
          <w:rFonts w:ascii="Arial" w:eastAsia="Arial" w:hAnsi="Arial" w:cs="Arial"/>
          <w:kern w:val="0"/>
          <w:sz w:val="24"/>
          <w:szCs w:val="24"/>
          <w:lang w:val="zh-CN"/>
          <w14:ligatures w14:val="none"/>
        </w:rPr>
        <w:t xml:space="preserve"> </w:t>
      </w:r>
    </w:p>
    <w:p w14:paraId="24232681" w14:textId="77777777" w:rsidR="0093626A" w:rsidRPr="00634580" w:rsidRDefault="00000000" w:rsidP="00634580">
      <w:pPr>
        <w:spacing w:after="0" w:line="360" w:lineRule="auto"/>
        <w:ind w:firstLine="708"/>
        <w:jc w:val="both"/>
        <w:rPr>
          <w:rFonts w:ascii="Arial" w:eastAsia="Arial Unicode MS" w:hAnsi="Arial" w:cs="Arial"/>
          <w:kern w:val="0"/>
          <w:sz w:val="24"/>
          <w:szCs w:val="24"/>
          <w14:ligatures w14:val="none"/>
        </w:rPr>
      </w:pPr>
      <w:r w:rsidRPr="00634580">
        <w:rPr>
          <w:rFonts w:ascii="Arial" w:eastAsia="Arial" w:hAnsi="Arial" w:cs="Arial"/>
          <w:kern w:val="0"/>
          <w:sz w:val="24"/>
          <w:szCs w:val="24"/>
          <w:lang w:val="zh-CN"/>
          <w14:ligatures w14:val="none"/>
        </w:rPr>
        <w:t xml:space="preserve">Un ejemplo claro de esta situación lo constituye el establecimiento en 2019 de los Protocolos de Protección a Migrantes, que obligaban a las personas solicitantes de asilo en los Estados Unidos a esperar los resultados de su solicitud en México, así como el Título 42, que en el contexto de la pandemia de la COVID-19 permitió a las autoridades federales estadounidenses impedir completamente la entrada de cualquier persona extranjera en aras presuntamente de prevenir contagios. En este marco, la situación geoestratégica de México le confiere al país </w:t>
      </w:r>
      <w:r w:rsidRPr="00634580">
        <w:rPr>
          <w:rFonts w:ascii="Arial" w:eastAsia="Arial" w:hAnsi="Arial" w:cs="Arial"/>
          <w:kern w:val="0"/>
          <w:sz w:val="24"/>
          <w:szCs w:val="24"/>
          <w:lang w:val="zh-CN"/>
          <w14:ligatures w14:val="none"/>
        </w:rPr>
        <w:lastRenderedPageBreak/>
        <w:t>una preponderancia regional en la materia. [...] México debe acatar las obligaciones constitucionales e internacionales en materia de derechos humanos de las personas migrantes. El país no solo es firmante de todos y cada uno de los acuerdos internacionales celebrados en el marco de las Naciones Unidas con relación a las personas migrantes (De la Flor Patiño, 2014), sino que además la propia legislación del país, incluso en la Constitución Política de los Estados Unidos Mexicanos, reconoce y garantiza los derechos de esas personas (Calderón, 2014; Castilla Juárez, 2014; Sánchez y Zedillo, 2022: 3)</w:t>
      </w:r>
    </w:p>
    <w:p w14:paraId="7388EF96" w14:textId="77777777" w:rsidR="0093626A" w:rsidRPr="00634580" w:rsidRDefault="0093626A" w:rsidP="005915A7">
      <w:pPr>
        <w:spacing w:after="0" w:line="360" w:lineRule="auto"/>
        <w:ind w:firstLine="720"/>
        <w:jc w:val="both"/>
        <w:rPr>
          <w:rFonts w:ascii="Arial" w:eastAsia="Arial" w:hAnsi="Arial" w:cs="Arial"/>
          <w:kern w:val="0"/>
          <w:sz w:val="24"/>
          <w:szCs w:val="24"/>
          <w:lang w:val="zh-CN"/>
          <w14:ligatures w14:val="none"/>
        </w:rPr>
      </w:pPr>
    </w:p>
    <w:p w14:paraId="5B1D7769" w14:textId="77777777" w:rsidR="0093626A" w:rsidRDefault="00000000" w:rsidP="005915A7">
      <w:pPr>
        <w:spacing w:after="0" w:line="360" w:lineRule="auto"/>
        <w:ind w:left="720"/>
        <w:jc w:val="both"/>
        <w:rPr>
          <w:rFonts w:ascii="Arial" w:eastAsia="Arial" w:hAnsi="Arial" w:cs="Arial"/>
          <w:i/>
          <w:iCs/>
          <w:kern w:val="0"/>
          <w:sz w:val="24"/>
          <w:szCs w:val="24"/>
          <w:lang w:val="es-ES" w:eastAsia="es-MX"/>
          <w14:ligatures w14:val="none"/>
        </w:rPr>
      </w:pPr>
      <w:r>
        <w:rPr>
          <w:rFonts w:ascii="Arial" w:eastAsia="Arial" w:hAnsi="Arial" w:cs="Arial"/>
          <w:i/>
          <w:iCs/>
          <w:kern w:val="0"/>
          <w:sz w:val="24"/>
          <w:szCs w:val="24"/>
          <w:lang w:val="es-ES" w:eastAsia="es-MX"/>
          <w14:ligatures w14:val="none"/>
        </w:rPr>
        <w:t>Los programas de movilidad en la UAG</w:t>
      </w:r>
    </w:p>
    <w:p w14:paraId="147AD781" w14:textId="77777777" w:rsidR="0093626A" w:rsidRDefault="00000000" w:rsidP="005915A7">
      <w:pPr>
        <w:spacing w:after="0" w:line="360" w:lineRule="auto"/>
        <w:ind w:firstLine="720"/>
        <w:jc w:val="both"/>
        <w:rPr>
          <w:rFonts w:ascii="Arial" w:eastAsia="Arial" w:hAnsi="Arial" w:cs="Arial"/>
          <w:kern w:val="0"/>
          <w:sz w:val="24"/>
          <w:szCs w:val="24"/>
          <w:lang w:eastAsia="es-MX"/>
          <w14:ligatures w14:val="none"/>
        </w:rPr>
      </w:pPr>
      <w:r>
        <w:rPr>
          <w:rFonts w:ascii="Arial" w:eastAsia="Arial" w:hAnsi="Arial" w:cs="Arial"/>
          <w:kern w:val="0"/>
          <w:sz w:val="24"/>
          <w:szCs w:val="24"/>
          <w:lang w:val="es-ES" w:eastAsia="es-MX"/>
          <w14:ligatures w14:val="none"/>
        </w:rPr>
        <w:t>En el caso de los programas de movilidad promovidos por la UAG, se cuenta con una gran diversidad de posibilidades, las que e</w:t>
      </w:r>
      <w:r>
        <w:rPr>
          <w:rFonts w:ascii="Arial" w:eastAsia="Arial" w:hAnsi="Arial" w:cs="Arial"/>
          <w:kern w:val="0"/>
          <w:sz w:val="24"/>
          <w:szCs w:val="24"/>
          <w:lang w:eastAsia="es-MX"/>
          <w14:ligatures w14:val="none"/>
        </w:rPr>
        <w:t>stán disponibles para estudiantes, profesores, investigadores y personal administrativo. Después de la pandemia, se ha impulsado con mayor énfasis las estancias docentes y de investigación, lo que se ha visto reflejado en la asignación de una parte del presupuesto de la Dirección de Internacionalización para apoyar a los profesores seleccionados para este tipo de oportunidades. Igualmente, se ha trabajado en conjunto con los interesados para participar en convocatorias de financiamiento nacionales e internacionales, como las gestionadas por el Servicio Alemán de Intercambio Académico (DAAD, por sus siglas en alemán) y las enmarcadas en proyectos de Erasmus+.</w:t>
      </w:r>
    </w:p>
    <w:p w14:paraId="47AA39F8" w14:textId="77777777" w:rsidR="0093626A" w:rsidRDefault="0093626A" w:rsidP="005915A7">
      <w:pPr>
        <w:spacing w:after="0" w:line="360" w:lineRule="auto"/>
        <w:jc w:val="both"/>
        <w:rPr>
          <w:rFonts w:ascii="Arial" w:eastAsia="Arial" w:hAnsi="Arial" w:cs="Arial"/>
          <w:kern w:val="0"/>
          <w:sz w:val="24"/>
          <w:szCs w:val="24"/>
          <w:lang w:eastAsia="es-MX"/>
          <w14:ligatures w14:val="none"/>
        </w:rPr>
      </w:pPr>
    </w:p>
    <w:p w14:paraId="687EAB38" w14:textId="77777777" w:rsidR="0093626A" w:rsidRDefault="00000000" w:rsidP="005915A7">
      <w:pPr>
        <w:spacing w:after="0" w:line="360" w:lineRule="auto"/>
        <w:ind w:firstLine="720"/>
        <w:jc w:val="both"/>
        <w:rPr>
          <w:rFonts w:ascii="Arial" w:eastAsia="Arial" w:hAnsi="Arial" w:cs="Arial"/>
          <w:kern w:val="0"/>
          <w:sz w:val="24"/>
          <w:szCs w:val="24"/>
          <w:lang w:eastAsia="es-MX"/>
          <w14:ligatures w14:val="none"/>
        </w:rPr>
      </w:pPr>
      <w:r>
        <w:rPr>
          <w:rFonts w:ascii="Arial" w:eastAsia="Arial" w:hAnsi="Arial" w:cs="Arial"/>
          <w:kern w:val="0"/>
          <w:sz w:val="24"/>
          <w:szCs w:val="24"/>
          <w:lang w:eastAsia="es-MX"/>
          <w14:ligatures w14:val="none"/>
        </w:rPr>
        <w:t xml:space="preserve">La mayor parte de los programas de movilidad se impulsan por medio de los convenios bilaterales de colaboración, mismos que fueron firmados por las dos instituciones involucradas en la negociación de la estancia. Actualmente, la UAG cuenta con más de 100 convenios internacionales de colaboración en 4 continentes, lo que abre infinitas posibilidades para los interesados (Dirección de Internacionalización UAG, s/f). Aunado a lo anterior, también se puede gestionar la movilidad por medio de los mecanismos enmarcados en redes o consorcios de universidades, como el Consorcio para la Colaboración de la Educación Superior en América del Norte (CONAHEC, por sus siglas en inglés) y la Asociación </w:t>
      </w:r>
      <w:r>
        <w:rPr>
          <w:rFonts w:ascii="Arial" w:eastAsia="Arial" w:hAnsi="Arial" w:cs="Arial"/>
          <w:kern w:val="0"/>
          <w:sz w:val="24"/>
          <w:szCs w:val="24"/>
          <w:lang w:eastAsia="es-MX"/>
          <w14:ligatures w14:val="none"/>
        </w:rPr>
        <w:lastRenderedPageBreak/>
        <w:t xml:space="preserve">Universitaria Iberoamericana de Postgrado (AUIP, 2023), quienes también cuentan con sus propias convocatorias y mecanismos de financiamiento para la movilidad. </w:t>
      </w:r>
    </w:p>
    <w:p w14:paraId="5E7B7229" w14:textId="77777777" w:rsidR="0093626A" w:rsidRDefault="00000000" w:rsidP="005915A7">
      <w:pPr>
        <w:spacing w:after="0" w:line="360" w:lineRule="auto"/>
        <w:jc w:val="both"/>
        <w:rPr>
          <w:rFonts w:ascii="Arial" w:eastAsia="Arial" w:hAnsi="Arial" w:cs="Arial"/>
          <w:kern w:val="0"/>
          <w:sz w:val="24"/>
          <w:szCs w:val="24"/>
          <w:lang w:eastAsia="es-MX"/>
          <w14:ligatures w14:val="none"/>
        </w:rPr>
      </w:pPr>
      <w:r>
        <w:rPr>
          <w:rFonts w:ascii="Arial" w:eastAsia="Arial" w:hAnsi="Arial" w:cs="Arial"/>
          <w:kern w:val="0"/>
          <w:sz w:val="24"/>
          <w:szCs w:val="24"/>
          <w:lang w:eastAsia="es-MX"/>
          <w14:ligatures w14:val="none"/>
        </w:rPr>
        <w:t xml:space="preserve"> </w:t>
      </w:r>
    </w:p>
    <w:p w14:paraId="40D78189" w14:textId="77777777" w:rsidR="0093626A" w:rsidRDefault="00000000" w:rsidP="005915A7">
      <w:pPr>
        <w:spacing w:after="0" w:line="360" w:lineRule="auto"/>
        <w:ind w:firstLine="720"/>
        <w:jc w:val="both"/>
        <w:rPr>
          <w:rFonts w:ascii="Arial" w:eastAsia="Arial" w:hAnsi="Arial" w:cs="Arial"/>
          <w:kern w:val="0"/>
          <w:sz w:val="24"/>
          <w:szCs w:val="24"/>
          <w:lang w:val="es-ES" w:eastAsia="es-MX"/>
          <w14:ligatures w14:val="none"/>
        </w:rPr>
      </w:pPr>
      <w:r>
        <w:rPr>
          <w:rFonts w:ascii="Arial" w:eastAsia="Arial" w:hAnsi="Arial" w:cs="Arial"/>
          <w:kern w:val="0"/>
          <w:sz w:val="24"/>
          <w:szCs w:val="24"/>
          <w:lang w:val="es-ES" w:eastAsia="es-MX"/>
          <w14:ligatures w14:val="none"/>
        </w:rPr>
        <w:t>Como se menciona anteriormente, las instituciones educativas cuentan con diversas posibilidades para impulsar la movilidad docente. Sin embargo, las estancias pueden ser gestionadas directamente por los profesores interesados, ya sea por contactos previamente establecidos o por medio de la búsqueda activa de pares con intereses de docencia e investigación similares a los propios. En este sentido, muchas veces es la propia colaboración de los profesores lo que lleva al establecimiento de un convenio entre universidades, lo que termina por abrir las puertas a otros interesados, así como a proyectos conjuntos de investigación y desarrollo.</w:t>
      </w:r>
    </w:p>
    <w:p w14:paraId="26913B2A" w14:textId="77777777" w:rsidR="0093626A" w:rsidRDefault="0093626A" w:rsidP="005915A7">
      <w:pPr>
        <w:spacing w:after="0" w:line="360" w:lineRule="auto"/>
        <w:jc w:val="both"/>
        <w:rPr>
          <w:rFonts w:ascii="Arial" w:eastAsia="Arial" w:hAnsi="Arial" w:cs="Arial"/>
          <w:kern w:val="0"/>
          <w:sz w:val="24"/>
          <w:szCs w:val="24"/>
          <w:lang w:val="es-ES" w:eastAsia="es-MX"/>
          <w14:ligatures w14:val="none"/>
        </w:rPr>
      </w:pPr>
    </w:p>
    <w:p w14:paraId="2C977E4B" w14:textId="77777777" w:rsidR="0093626A" w:rsidRDefault="00000000" w:rsidP="005915A7">
      <w:pPr>
        <w:spacing w:after="0" w:line="360" w:lineRule="auto"/>
        <w:ind w:firstLine="720"/>
        <w:jc w:val="both"/>
        <w:rPr>
          <w:rFonts w:ascii="Arial" w:eastAsia="Arial" w:hAnsi="Arial" w:cs="Arial"/>
          <w:kern w:val="0"/>
          <w:sz w:val="24"/>
          <w:szCs w:val="24"/>
          <w:lang w:val="es-ES" w:eastAsia="es-MX"/>
          <w14:ligatures w14:val="none"/>
        </w:rPr>
      </w:pPr>
      <w:r>
        <w:rPr>
          <w:rFonts w:ascii="Arial" w:eastAsia="Arial" w:hAnsi="Arial" w:cs="Arial"/>
          <w:kern w:val="0"/>
          <w:sz w:val="24"/>
          <w:szCs w:val="24"/>
          <w:lang w:val="es-ES" w:eastAsia="es-MX"/>
          <w14:ligatures w14:val="none"/>
        </w:rPr>
        <w:t>En cuanto a la duración de las estancias, en el caso de la UAG, la participación más activa de profesores ha sido en aquellas de corta duración. Esto significa que la mayor parte de la movilidad docente que se desarrolla en la institución suele durar entre 1 y 2 semanas, aunque sí se han tenido excepciones, en las que la estancia tuvo una temporalidad de 2 a 3 meses. Aunque se ha intentado impulsar convocatorias en las que los interesados se comprometerían a estancias de largo plazo (de entre 6 meses y 2 años), en los últimos seis años no se ha tenido ningún caso exitoso de estancias de este tipo.</w:t>
      </w:r>
    </w:p>
    <w:p w14:paraId="4AD4DA63" w14:textId="77777777" w:rsidR="0093626A" w:rsidRPr="00634580" w:rsidRDefault="0093626A" w:rsidP="005915A7">
      <w:pPr>
        <w:spacing w:after="0" w:line="360" w:lineRule="auto"/>
        <w:ind w:left="720"/>
        <w:jc w:val="both"/>
        <w:rPr>
          <w:rFonts w:ascii="Arial" w:eastAsia="Arial Unicode MS" w:hAnsi="Arial" w:cs="Arial"/>
          <w:kern w:val="0"/>
          <w:sz w:val="24"/>
          <w:szCs w:val="24"/>
          <w:lang w:eastAsia="es-MX"/>
          <w14:ligatures w14:val="none"/>
        </w:rPr>
      </w:pPr>
    </w:p>
    <w:p w14:paraId="62CAEB51" w14:textId="77777777" w:rsidR="0093626A" w:rsidRPr="00634580" w:rsidRDefault="00000000" w:rsidP="005915A7">
      <w:pPr>
        <w:spacing w:after="0" w:line="360" w:lineRule="auto"/>
        <w:jc w:val="both"/>
        <w:rPr>
          <w:rFonts w:ascii="Arial" w:eastAsia="Arial Unicode MS" w:hAnsi="Arial" w:cs="Arial"/>
          <w:b/>
          <w:bCs/>
          <w:kern w:val="0"/>
          <w:sz w:val="24"/>
          <w:szCs w:val="24"/>
          <w:lang w:eastAsia="es-MX"/>
          <w14:ligatures w14:val="none"/>
        </w:rPr>
      </w:pPr>
      <w:r w:rsidRPr="00634580">
        <w:rPr>
          <w:rFonts w:ascii="Arial" w:eastAsia="Arial Unicode MS" w:hAnsi="Arial" w:cs="Arial"/>
          <w:b/>
          <w:bCs/>
          <w:kern w:val="0"/>
          <w:sz w:val="24"/>
          <w:szCs w:val="24"/>
          <w:lang w:eastAsia="es-MX"/>
          <w14:ligatures w14:val="none"/>
        </w:rPr>
        <w:t xml:space="preserve">c) Metodología </w:t>
      </w:r>
    </w:p>
    <w:p w14:paraId="1DB27D16" w14:textId="77777777" w:rsidR="0093626A" w:rsidRDefault="00000000" w:rsidP="005915A7">
      <w:pPr>
        <w:spacing w:after="0" w:line="360" w:lineRule="auto"/>
        <w:ind w:firstLine="720"/>
        <w:jc w:val="both"/>
        <w:rPr>
          <w:rFonts w:ascii="Arial" w:eastAsia="Arial" w:hAnsi="Arial" w:cs="Arial"/>
          <w:kern w:val="0"/>
          <w:sz w:val="24"/>
          <w:szCs w:val="24"/>
          <w:lang w:eastAsia="es-MX"/>
          <w14:ligatures w14:val="none"/>
        </w:rPr>
      </w:pPr>
      <w:r>
        <w:rPr>
          <w:rFonts w:ascii="Arial" w:eastAsia="Arial" w:hAnsi="Arial" w:cs="Arial"/>
          <w:kern w:val="0"/>
          <w:sz w:val="24"/>
          <w:szCs w:val="24"/>
          <w:lang w:eastAsia="es-MX"/>
          <w14:ligatures w14:val="none"/>
        </w:rPr>
        <w:t xml:space="preserve">Para el logro de los objetivos del estudio se empleó una metodología de naturaleza cualitativa, con técnica de grupo focal y enfoque fenomenológico. La fenomenología, corriente filosófica de tendencia opuesta al positivismo paradigmático de la investigación cuantitativa, busca estudiar y profundizar en la experiencia subjetiva y la conciencia individualizada de las personas (Orrego-Correa, 2014; </w:t>
      </w:r>
      <w:r>
        <w:rPr>
          <w:rFonts w:ascii="Arial" w:eastAsia="Arial" w:hAnsi="Arial" w:cs="Arial"/>
          <w:color w:val="222222"/>
          <w:kern w:val="0"/>
          <w:sz w:val="24"/>
          <w:szCs w:val="24"/>
          <w:lang w:eastAsia="es-MX"/>
          <w14:ligatures w14:val="none"/>
        </w:rPr>
        <w:t xml:space="preserve">Rambal-Simanca y Acuña-Sauriht, 2021). </w:t>
      </w:r>
      <w:r>
        <w:rPr>
          <w:rFonts w:ascii="Arial" w:eastAsia="Arial" w:hAnsi="Arial" w:cs="Arial"/>
          <w:kern w:val="0"/>
          <w:sz w:val="24"/>
          <w:szCs w:val="24"/>
          <w:lang w:eastAsia="es-MX"/>
          <w14:ligatures w14:val="none"/>
        </w:rPr>
        <w:t xml:space="preserve">En cuestiones de movilidad internacional de docentes, su propósito es el de comprender las experiencias y vivencias de los profesores que desarrollan actividades de intercambio académico </w:t>
      </w:r>
      <w:r>
        <w:rPr>
          <w:rFonts w:ascii="Arial" w:eastAsia="Arial" w:hAnsi="Arial" w:cs="Arial"/>
          <w:kern w:val="0"/>
          <w:sz w:val="24"/>
          <w:szCs w:val="24"/>
          <w:lang w:eastAsia="es-MX"/>
          <w14:ligatures w14:val="none"/>
        </w:rPr>
        <w:lastRenderedPageBreak/>
        <w:t>en el extranjero, dado el gran impacto que tiene para sus vidas. La aplicación de la postura fenomenológica a este trabajo comenzó con la selección del tema y se solicitó a la Dirección de Internacionalización de la UAG su apoyo para la identificación de los docentes que hubiesen participado en estos programas entre los años 2020 y 2023. Una vez identificados, se les invitó a participar en una sesión única de grupo focal donde participarían los identificados a quienes les fuera posible en la fecha y lugar señalados.</w:t>
      </w:r>
    </w:p>
    <w:p w14:paraId="637575BA" w14:textId="3198E20C" w:rsidR="0093626A" w:rsidRDefault="0093626A" w:rsidP="005915A7">
      <w:pPr>
        <w:spacing w:after="0" w:line="360" w:lineRule="auto"/>
        <w:ind w:firstLine="720"/>
        <w:jc w:val="both"/>
        <w:rPr>
          <w:rFonts w:ascii="Arial" w:eastAsia="Arial Unicode MS" w:hAnsi="Arial" w:cs="Arial"/>
          <w:color w:val="000000"/>
          <w:kern w:val="0"/>
          <w:sz w:val="24"/>
          <w:szCs w:val="24"/>
          <w:lang w:eastAsia="es-MX"/>
          <w14:ligatures w14:val="none"/>
        </w:rPr>
      </w:pPr>
    </w:p>
    <w:p w14:paraId="2C325E60" w14:textId="77777777" w:rsidR="0093626A" w:rsidRDefault="00000000" w:rsidP="005915A7">
      <w:pPr>
        <w:spacing w:after="0" w:line="360" w:lineRule="auto"/>
        <w:ind w:firstLine="720"/>
        <w:jc w:val="both"/>
        <w:rPr>
          <w:rFonts w:ascii="Arial" w:eastAsia="Arial" w:hAnsi="Arial" w:cs="Arial"/>
          <w:kern w:val="0"/>
          <w:sz w:val="24"/>
          <w:szCs w:val="24"/>
          <w:lang w:eastAsia="es-MX"/>
          <w14:ligatures w14:val="none"/>
        </w:rPr>
      </w:pPr>
      <w:r>
        <w:rPr>
          <w:rFonts w:ascii="Arial" w:eastAsia="Arial" w:hAnsi="Arial" w:cs="Arial"/>
          <w:kern w:val="0"/>
          <w:sz w:val="24"/>
          <w:szCs w:val="24"/>
          <w:lang w:eastAsia="es-MX"/>
          <w14:ligatures w14:val="none"/>
        </w:rPr>
        <w:t xml:space="preserve"> Participaron 5 docentes que habían experimentado una estancia de investigación en el extranjero, independientemente del tiempo que hubiera durado. Los participantes presentaron las características personales que se muestran a continuación: </w:t>
      </w:r>
    </w:p>
    <w:p w14:paraId="235B61BE" w14:textId="77777777" w:rsidR="0093626A" w:rsidRDefault="0093626A" w:rsidP="005915A7">
      <w:pPr>
        <w:spacing w:after="0" w:line="360" w:lineRule="auto"/>
        <w:ind w:firstLine="720"/>
        <w:jc w:val="both"/>
        <w:rPr>
          <w:rFonts w:ascii="Arial" w:eastAsia="Arial" w:hAnsi="Arial" w:cs="Arial"/>
          <w:kern w:val="0"/>
          <w:sz w:val="24"/>
          <w:szCs w:val="24"/>
          <w:lang w:eastAsia="es-MX"/>
          <w14:ligatures w14:val="none"/>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20"/>
        <w:gridCol w:w="3120"/>
        <w:gridCol w:w="3120"/>
      </w:tblGrid>
      <w:tr w:rsidR="0093626A" w14:paraId="320A0E8A" w14:textId="77777777">
        <w:trPr>
          <w:trHeight w:val="300"/>
        </w:trPr>
        <w:tc>
          <w:tcPr>
            <w:tcW w:w="9360" w:type="dxa"/>
            <w:gridSpan w:val="3"/>
            <w:tcBorders>
              <w:bottom w:val="single" w:sz="4" w:space="0" w:color="auto"/>
            </w:tcBorders>
          </w:tcPr>
          <w:p w14:paraId="03C179D6" w14:textId="5124C55E" w:rsidR="0093626A" w:rsidRPr="00634580" w:rsidRDefault="00000000" w:rsidP="00634580">
            <w:pPr>
              <w:spacing w:after="0" w:line="360" w:lineRule="auto"/>
              <w:rPr>
                <w:rFonts w:ascii="Arial" w:eastAsia="Arial" w:hAnsi="Arial" w:cs="Arial"/>
                <w:kern w:val="0"/>
                <w:sz w:val="24"/>
                <w:szCs w:val="24"/>
                <w:lang w:eastAsia="es-MX"/>
                <w14:ligatures w14:val="none"/>
              </w:rPr>
            </w:pPr>
            <w:r w:rsidRPr="00634580">
              <w:rPr>
                <w:rFonts w:ascii="Arial" w:eastAsia="Arial" w:hAnsi="Arial" w:cs="Arial"/>
                <w:kern w:val="0"/>
                <w:sz w:val="24"/>
                <w:szCs w:val="24"/>
                <w:lang w:eastAsia="es-MX"/>
                <w14:ligatures w14:val="none"/>
              </w:rPr>
              <w:t>Cuadro 2</w:t>
            </w:r>
          </w:p>
          <w:p w14:paraId="306BC8FB" w14:textId="77777777" w:rsidR="0093626A" w:rsidRPr="00634580" w:rsidRDefault="00000000" w:rsidP="00634580">
            <w:pPr>
              <w:spacing w:after="0" w:line="360" w:lineRule="auto"/>
              <w:rPr>
                <w:rFonts w:ascii="Arial" w:eastAsia="Arial" w:hAnsi="Arial" w:cs="Arial"/>
                <w:i/>
                <w:iCs/>
                <w:kern w:val="0"/>
                <w:sz w:val="24"/>
                <w:szCs w:val="24"/>
                <w:lang w:eastAsia="es-MX"/>
                <w14:ligatures w14:val="none"/>
              </w:rPr>
            </w:pPr>
            <w:r w:rsidRPr="00634580">
              <w:rPr>
                <w:rFonts w:ascii="Arial" w:eastAsia="Arial" w:hAnsi="Arial" w:cs="Arial"/>
                <w:kern w:val="0"/>
                <w:sz w:val="24"/>
                <w:szCs w:val="24"/>
                <w:lang w:eastAsia="es-MX"/>
                <w14:ligatures w14:val="none"/>
              </w:rPr>
              <w:t>Características de los participantes</w:t>
            </w:r>
          </w:p>
        </w:tc>
      </w:tr>
      <w:tr w:rsidR="0093626A" w14:paraId="4E99F76B" w14:textId="77777777">
        <w:trPr>
          <w:trHeight w:val="311"/>
        </w:trPr>
        <w:tc>
          <w:tcPr>
            <w:tcW w:w="3120" w:type="dxa"/>
            <w:tcBorders>
              <w:top w:val="single" w:sz="4" w:space="0" w:color="auto"/>
              <w:bottom w:val="single" w:sz="4" w:space="0" w:color="auto"/>
            </w:tcBorders>
          </w:tcPr>
          <w:p w14:paraId="46DC974E" w14:textId="77777777" w:rsidR="0093626A" w:rsidRPr="00634580" w:rsidRDefault="00000000" w:rsidP="00634580">
            <w:pPr>
              <w:spacing w:after="0" w:line="360" w:lineRule="auto"/>
              <w:rPr>
                <w:rFonts w:ascii="Arial" w:eastAsia="Arial" w:hAnsi="Arial" w:cs="Arial"/>
                <w:kern w:val="0"/>
                <w:sz w:val="24"/>
                <w:szCs w:val="24"/>
                <w:lang w:eastAsia="es-MX"/>
                <w14:ligatures w14:val="none"/>
              </w:rPr>
            </w:pPr>
            <w:r w:rsidRPr="00634580">
              <w:rPr>
                <w:rFonts w:ascii="Arial" w:eastAsia="Arial" w:hAnsi="Arial" w:cs="Arial"/>
                <w:kern w:val="0"/>
                <w:sz w:val="24"/>
                <w:szCs w:val="24"/>
                <w:lang w:eastAsia="es-MX"/>
                <w14:ligatures w14:val="none"/>
              </w:rPr>
              <w:t>Número de participante</w:t>
            </w:r>
          </w:p>
        </w:tc>
        <w:tc>
          <w:tcPr>
            <w:tcW w:w="3120" w:type="dxa"/>
            <w:tcBorders>
              <w:top w:val="single" w:sz="4" w:space="0" w:color="auto"/>
              <w:bottom w:val="single" w:sz="4" w:space="0" w:color="auto"/>
            </w:tcBorders>
          </w:tcPr>
          <w:p w14:paraId="17A556A4" w14:textId="77777777" w:rsidR="0093626A" w:rsidRPr="00634580" w:rsidRDefault="00000000" w:rsidP="00634580">
            <w:pPr>
              <w:spacing w:after="0" w:line="360" w:lineRule="auto"/>
              <w:rPr>
                <w:rFonts w:ascii="Arial" w:eastAsia="Arial" w:hAnsi="Arial" w:cs="Arial"/>
                <w:kern w:val="0"/>
                <w:sz w:val="24"/>
                <w:szCs w:val="24"/>
                <w:lang w:eastAsia="es-MX"/>
                <w14:ligatures w14:val="none"/>
              </w:rPr>
            </w:pPr>
            <w:r w:rsidRPr="00634580">
              <w:rPr>
                <w:rFonts w:ascii="Arial" w:eastAsia="Arial" w:hAnsi="Arial" w:cs="Arial"/>
                <w:kern w:val="0"/>
                <w:sz w:val="24"/>
                <w:szCs w:val="24"/>
                <w:lang w:eastAsia="es-MX"/>
                <w14:ligatures w14:val="none"/>
              </w:rPr>
              <w:t>Sexo</w:t>
            </w:r>
          </w:p>
        </w:tc>
        <w:tc>
          <w:tcPr>
            <w:tcW w:w="3120" w:type="dxa"/>
            <w:tcBorders>
              <w:top w:val="single" w:sz="4" w:space="0" w:color="auto"/>
              <w:bottom w:val="single" w:sz="4" w:space="0" w:color="auto"/>
            </w:tcBorders>
          </w:tcPr>
          <w:p w14:paraId="3CF99A1C" w14:textId="77777777" w:rsidR="0093626A" w:rsidRPr="00634580" w:rsidRDefault="00000000" w:rsidP="00634580">
            <w:pPr>
              <w:spacing w:after="0" w:line="360" w:lineRule="auto"/>
              <w:rPr>
                <w:rFonts w:ascii="Arial" w:eastAsia="Arial" w:hAnsi="Arial" w:cs="Arial"/>
                <w:kern w:val="0"/>
                <w:sz w:val="24"/>
                <w:szCs w:val="24"/>
                <w:lang w:eastAsia="es-MX"/>
                <w14:ligatures w14:val="none"/>
              </w:rPr>
            </w:pPr>
            <w:r w:rsidRPr="00634580">
              <w:rPr>
                <w:rFonts w:ascii="Arial" w:eastAsia="Arial" w:hAnsi="Arial" w:cs="Arial"/>
                <w:kern w:val="0"/>
                <w:sz w:val="24"/>
                <w:szCs w:val="24"/>
                <w:lang w:eastAsia="es-MX"/>
                <w14:ligatures w14:val="none"/>
              </w:rPr>
              <w:t>Disciplina</w:t>
            </w:r>
          </w:p>
        </w:tc>
      </w:tr>
      <w:tr w:rsidR="0093626A" w14:paraId="03D5DBAE" w14:textId="77777777">
        <w:trPr>
          <w:trHeight w:val="300"/>
        </w:trPr>
        <w:tc>
          <w:tcPr>
            <w:tcW w:w="3120" w:type="dxa"/>
            <w:tcBorders>
              <w:top w:val="single" w:sz="4" w:space="0" w:color="auto"/>
            </w:tcBorders>
          </w:tcPr>
          <w:p w14:paraId="03B59625" w14:textId="77777777" w:rsidR="0093626A" w:rsidRPr="00634580" w:rsidRDefault="00000000" w:rsidP="00634580">
            <w:pPr>
              <w:spacing w:after="0" w:line="360" w:lineRule="auto"/>
              <w:rPr>
                <w:rFonts w:ascii="Arial" w:eastAsia="Arial" w:hAnsi="Arial" w:cs="Arial"/>
                <w:kern w:val="0"/>
                <w:sz w:val="24"/>
                <w:szCs w:val="24"/>
                <w:lang w:eastAsia="es-MX"/>
                <w14:ligatures w14:val="none"/>
              </w:rPr>
            </w:pPr>
            <w:r w:rsidRPr="00634580">
              <w:rPr>
                <w:rFonts w:ascii="Arial" w:eastAsia="Arial" w:hAnsi="Arial" w:cs="Arial"/>
                <w:kern w:val="0"/>
                <w:sz w:val="24"/>
                <w:szCs w:val="24"/>
                <w:lang w:eastAsia="es-MX"/>
                <w14:ligatures w14:val="none"/>
              </w:rPr>
              <w:t>Participante 1</w:t>
            </w:r>
          </w:p>
        </w:tc>
        <w:tc>
          <w:tcPr>
            <w:tcW w:w="3120" w:type="dxa"/>
            <w:tcBorders>
              <w:top w:val="single" w:sz="4" w:space="0" w:color="auto"/>
            </w:tcBorders>
          </w:tcPr>
          <w:p w14:paraId="684DCDD9" w14:textId="77777777" w:rsidR="0093626A" w:rsidRPr="00634580" w:rsidRDefault="00000000" w:rsidP="00634580">
            <w:pPr>
              <w:spacing w:after="0" w:line="360" w:lineRule="auto"/>
              <w:rPr>
                <w:rFonts w:ascii="Arial" w:eastAsia="Arial" w:hAnsi="Arial" w:cs="Arial"/>
                <w:kern w:val="0"/>
                <w:sz w:val="24"/>
                <w:szCs w:val="24"/>
                <w:lang w:eastAsia="es-MX"/>
                <w14:ligatures w14:val="none"/>
              </w:rPr>
            </w:pPr>
            <w:r w:rsidRPr="00634580">
              <w:rPr>
                <w:rFonts w:ascii="Arial" w:eastAsia="Arial" w:hAnsi="Arial" w:cs="Arial"/>
                <w:kern w:val="0"/>
                <w:sz w:val="24"/>
                <w:szCs w:val="24"/>
                <w:lang w:eastAsia="es-MX"/>
                <w14:ligatures w14:val="none"/>
              </w:rPr>
              <w:t>Femenino</w:t>
            </w:r>
          </w:p>
        </w:tc>
        <w:tc>
          <w:tcPr>
            <w:tcW w:w="3120" w:type="dxa"/>
            <w:tcBorders>
              <w:top w:val="single" w:sz="4" w:space="0" w:color="auto"/>
            </w:tcBorders>
          </w:tcPr>
          <w:p w14:paraId="0BDEF7D2" w14:textId="77777777" w:rsidR="0093626A" w:rsidRPr="00634580" w:rsidRDefault="00000000" w:rsidP="00634580">
            <w:pPr>
              <w:spacing w:after="0" w:line="360" w:lineRule="auto"/>
              <w:rPr>
                <w:rFonts w:ascii="Arial" w:eastAsia="Arial" w:hAnsi="Arial" w:cs="Arial"/>
                <w:kern w:val="0"/>
                <w:sz w:val="24"/>
                <w:szCs w:val="24"/>
                <w:lang w:eastAsia="es-MX"/>
                <w14:ligatures w14:val="none"/>
              </w:rPr>
            </w:pPr>
            <w:r w:rsidRPr="00634580">
              <w:rPr>
                <w:rFonts w:ascii="Arial" w:eastAsia="Arial" w:hAnsi="Arial" w:cs="Arial"/>
                <w:kern w:val="0"/>
                <w:sz w:val="24"/>
                <w:szCs w:val="24"/>
                <w:lang w:eastAsia="es-MX"/>
                <w14:ligatures w14:val="none"/>
              </w:rPr>
              <w:t>Arquitectura</w:t>
            </w:r>
          </w:p>
        </w:tc>
      </w:tr>
      <w:tr w:rsidR="0093626A" w14:paraId="17520E1B" w14:textId="77777777">
        <w:trPr>
          <w:trHeight w:val="300"/>
        </w:trPr>
        <w:tc>
          <w:tcPr>
            <w:tcW w:w="3120" w:type="dxa"/>
          </w:tcPr>
          <w:p w14:paraId="3E595204" w14:textId="77777777" w:rsidR="0093626A" w:rsidRPr="00634580" w:rsidRDefault="00000000" w:rsidP="00634580">
            <w:pPr>
              <w:spacing w:after="0" w:line="360" w:lineRule="auto"/>
              <w:rPr>
                <w:rFonts w:ascii="Arial" w:eastAsia="Arial" w:hAnsi="Arial" w:cs="Arial"/>
                <w:kern w:val="0"/>
                <w:sz w:val="24"/>
                <w:szCs w:val="24"/>
                <w:lang w:eastAsia="es-MX"/>
                <w14:ligatures w14:val="none"/>
              </w:rPr>
            </w:pPr>
            <w:r w:rsidRPr="00634580">
              <w:rPr>
                <w:rFonts w:ascii="Arial" w:eastAsia="Arial" w:hAnsi="Arial" w:cs="Arial"/>
                <w:kern w:val="0"/>
                <w:sz w:val="24"/>
                <w:szCs w:val="24"/>
                <w:lang w:eastAsia="es-MX"/>
                <w14:ligatures w14:val="none"/>
              </w:rPr>
              <w:t>Participante 2</w:t>
            </w:r>
          </w:p>
        </w:tc>
        <w:tc>
          <w:tcPr>
            <w:tcW w:w="3120" w:type="dxa"/>
          </w:tcPr>
          <w:p w14:paraId="03AC38F3" w14:textId="77777777" w:rsidR="0093626A" w:rsidRPr="00634580" w:rsidRDefault="00000000" w:rsidP="00634580">
            <w:pPr>
              <w:spacing w:after="0" w:line="360" w:lineRule="auto"/>
              <w:rPr>
                <w:rFonts w:ascii="Arial" w:eastAsia="Arial" w:hAnsi="Arial" w:cs="Arial"/>
                <w:kern w:val="0"/>
                <w:sz w:val="24"/>
                <w:szCs w:val="24"/>
                <w:lang w:eastAsia="es-MX"/>
                <w14:ligatures w14:val="none"/>
              </w:rPr>
            </w:pPr>
            <w:r w:rsidRPr="00634580">
              <w:rPr>
                <w:rFonts w:ascii="Arial" w:eastAsia="Arial" w:hAnsi="Arial" w:cs="Arial"/>
                <w:kern w:val="0"/>
                <w:sz w:val="24"/>
                <w:szCs w:val="24"/>
                <w:lang w:eastAsia="es-MX"/>
                <w14:ligatures w14:val="none"/>
              </w:rPr>
              <w:t>Femenino</w:t>
            </w:r>
          </w:p>
        </w:tc>
        <w:tc>
          <w:tcPr>
            <w:tcW w:w="3120" w:type="dxa"/>
          </w:tcPr>
          <w:p w14:paraId="01117F6C" w14:textId="77777777" w:rsidR="0093626A" w:rsidRPr="00634580" w:rsidRDefault="00000000" w:rsidP="00634580">
            <w:pPr>
              <w:spacing w:after="0" w:line="360" w:lineRule="auto"/>
              <w:rPr>
                <w:rFonts w:ascii="Arial" w:eastAsia="Arial" w:hAnsi="Arial" w:cs="Arial"/>
                <w:kern w:val="0"/>
                <w:sz w:val="24"/>
                <w:szCs w:val="24"/>
                <w:lang w:eastAsia="es-MX"/>
                <w14:ligatures w14:val="none"/>
              </w:rPr>
            </w:pPr>
            <w:r w:rsidRPr="00634580">
              <w:rPr>
                <w:rFonts w:ascii="Arial" w:eastAsia="Arial" w:hAnsi="Arial" w:cs="Arial"/>
                <w:kern w:val="0"/>
                <w:sz w:val="24"/>
                <w:szCs w:val="24"/>
                <w:lang w:eastAsia="es-MX"/>
                <w14:ligatures w14:val="none"/>
              </w:rPr>
              <w:t>Biotecnología</w:t>
            </w:r>
          </w:p>
        </w:tc>
      </w:tr>
      <w:tr w:rsidR="0093626A" w14:paraId="51EF59C3" w14:textId="77777777">
        <w:trPr>
          <w:trHeight w:val="300"/>
        </w:trPr>
        <w:tc>
          <w:tcPr>
            <w:tcW w:w="3120" w:type="dxa"/>
          </w:tcPr>
          <w:p w14:paraId="41F3DA4E" w14:textId="77777777" w:rsidR="0093626A" w:rsidRPr="00634580" w:rsidRDefault="00000000" w:rsidP="00634580">
            <w:pPr>
              <w:spacing w:after="0" w:line="360" w:lineRule="auto"/>
              <w:rPr>
                <w:rFonts w:ascii="Arial" w:eastAsia="Arial" w:hAnsi="Arial" w:cs="Arial"/>
                <w:kern w:val="0"/>
                <w:sz w:val="24"/>
                <w:szCs w:val="24"/>
                <w:lang w:eastAsia="es-MX"/>
                <w14:ligatures w14:val="none"/>
              </w:rPr>
            </w:pPr>
            <w:r w:rsidRPr="00634580">
              <w:rPr>
                <w:rFonts w:ascii="Arial" w:eastAsia="Arial" w:hAnsi="Arial" w:cs="Arial"/>
                <w:kern w:val="0"/>
                <w:sz w:val="24"/>
                <w:szCs w:val="24"/>
                <w:lang w:eastAsia="es-MX"/>
                <w14:ligatures w14:val="none"/>
              </w:rPr>
              <w:t>Participante 3</w:t>
            </w:r>
          </w:p>
        </w:tc>
        <w:tc>
          <w:tcPr>
            <w:tcW w:w="3120" w:type="dxa"/>
          </w:tcPr>
          <w:p w14:paraId="430AC607" w14:textId="77777777" w:rsidR="0093626A" w:rsidRPr="00634580" w:rsidRDefault="00000000" w:rsidP="00634580">
            <w:pPr>
              <w:spacing w:after="0" w:line="360" w:lineRule="auto"/>
              <w:rPr>
                <w:rFonts w:ascii="Arial" w:eastAsia="Arial" w:hAnsi="Arial" w:cs="Arial"/>
                <w:kern w:val="0"/>
                <w:sz w:val="24"/>
                <w:szCs w:val="24"/>
                <w:lang w:eastAsia="es-MX"/>
                <w14:ligatures w14:val="none"/>
              </w:rPr>
            </w:pPr>
            <w:r w:rsidRPr="00634580">
              <w:rPr>
                <w:rFonts w:ascii="Arial" w:eastAsia="Arial" w:hAnsi="Arial" w:cs="Arial"/>
                <w:kern w:val="0"/>
                <w:sz w:val="24"/>
                <w:szCs w:val="24"/>
                <w:lang w:eastAsia="es-MX"/>
                <w14:ligatures w14:val="none"/>
              </w:rPr>
              <w:t>Femenino</w:t>
            </w:r>
          </w:p>
        </w:tc>
        <w:tc>
          <w:tcPr>
            <w:tcW w:w="3120" w:type="dxa"/>
          </w:tcPr>
          <w:p w14:paraId="0F5BDB0E" w14:textId="77777777" w:rsidR="0093626A" w:rsidRPr="00634580" w:rsidRDefault="00000000" w:rsidP="00634580">
            <w:pPr>
              <w:spacing w:after="0" w:line="360" w:lineRule="auto"/>
              <w:rPr>
                <w:rFonts w:ascii="Arial" w:eastAsia="Arial" w:hAnsi="Arial" w:cs="Arial"/>
                <w:kern w:val="0"/>
                <w:sz w:val="24"/>
                <w:szCs w:val="24"/>
                <w:lang w:eastAsia="es-MX"/>
                <w14:ligatures w14:val="none"/>
              </w:rPr>
            </w:pPr>
            <w:r w:rsidRPr="00634580">
              <w:rPr>
                <w:rFonts w:ascii="Arial" w:eastAsia="Arial" w:hAnsi="Arial" w:cs="Arial"/>
                <w:kern w:val="0"/>
                <w:sz w:val="24"/>
                <w:szCs w:val="24"/>
                <w:lang w:eastAsia="es-MX"/>
                <w14:ligatures w14:val="none"/>
              </w:rPr>
              <w:t>Administración</w:t>
            </w:r>
          </w:p>
        </w:tc>
      </w:tr>
      <w:tr w:rsidR="0093626A" w14:paraId="6D80CE67" w14:textId="77777777">
        <w:trPr>
          <w:trHeight w:val="300"/>
        </w:trPr>
        <w:tc>
          <w:tcPr>
            <w:tcW w:w="3120" w:type="dxa"/>
          </w:tcPr>
          <w:p w14:paraId="66537816" w14:textId="77777777" w:rsidR="0093626A" w:rsidRPr="00634580" w:rsidRDefault="00000000" w:rsidP="00634580">
            <w:pPr>
              <w:spacing w:after="0" w:line="360" w:lineRule="auto"/>
              <w:rPr>
                <w:rFonts w:ascii="Arial" w:eastAsia="Arial" w:hAnsi="Arial" w:cs="Arial"/>
                <w:kern w:val="0"/>
                <w:sz w:val="24"/>
                <w:szCs w:val="24"/>
                <w:lang w:eastAsia="es-MX"/>
                <w14:ligatures w14:val="none"/>
              </w:rPr>
            </w:pPr>
            <w:r w:rsidRPr="00634580">
              <w:rPr>
                <w:rFonts w:ascii="Arial" w:eastAsia="Arial" w:hAnsi="Arial" w:cs="Arial"/>
                <w:kern w:val="0"/>
                <w:sz w:val="24"/>
                <w:szCs w:val="24"/>
                <w:lang w:eastAsia="es-MX"/>
                <w14:ligatures w14:val="none"/>
              </w:rPr>
              <w:t>Participante 4</w:t>
            </w:r>
          </w:p>
        </w:tc>
        <w:tc>
          <w:tcPr>
            <w:tcW w:w="3120" w:type="dxa"/>
          </w:tcPr>
          <w:p w14:paraId="2B32D390" w14:textId="77777777" w:rsidR="0093626A" w:rsidRPr="00634580" w:rsidRDefault="00000000" w:rsidP="00634580">
            <w:pPr>
              <w:spacing w:after="0" w:line="360" w:lineRule="auto"/>
              <w:rPr>
                <w:rFonts w:ascii="Arial" w:eastAsia="Arial" w:hAnsi="Arial" w:cs="Arial"/>
                <w:kern w:val="0"/>
                <w:sz w:val="24"/>
                <w:szCs w:val="24"/>
                <w:lang w:eastAsia="es-MX"/>
                <w14:ligatures w14:val="none"/>
              </w:rPr>
            </w:pPr>
            <w:r w:rsidRPr="00634580">
              <w:rPr>
                <w:rFonts w:ascii="Arial" w:eastAsia="Arial" w:hAnsi="Arial" w:cs="Arial"/>
                <w:kern w:val="0"/>
                <w:sz w:val="24"/>
                <w:szCs w:val="24"/>
                <w:lang w:eastAsia="es-MX"/>
                <w14:ligatures w14:val="none"/>
              </w:rPr>
              <w:t>Masculino</w:t>
            </w:r>
          </w:p>
        </w:tc>
        <w:tc>
          <w:tcPr>
            <w:tcW w:w="3120" w:type="dxa"/>
          </w:tcPr>
          <w:p w14:paraId="57EB008C" w14:textId="77777777" w:rsidR="0093626A" w:rsidRPr="00634580" w:rsidRDefault="00000000" w:rsidP="00634580">
            <w:pPr>
              <w:spacing w:after="0" w:line="360" w:lineRule="auto"/>
              <w:rPr>
                <w:rFonts w:ascii="Arial" w:eastAsia="Arial" w:hAnsi="Arial" w:cs="Arial"/>
                <w:kern w:val="0"/>
                <w:sz w:val="24"/>
                <w:szCs w:val="24"/>
                <w:lang w:eastAsia="es-MX"/>
                <w14:ligatures w14:val="none"/>
              </w:rPr>
            </w:pPr>
            <w:r w:rsidRPr="00634580">
              <w:rPr>
                <w:rFonts w:ascii="Arial" w:eastAsia="Arial" w:hAnsi="Arial" w:cs="Arial"/>
                <w:kern w:val="0"/>
                <w:sz w:val="24"/>
                <w:szCs w:val="24"/>
                <w:lang w:eastAsia="es-MX"/>
                <w14:ligatures w14:val="none"/>
              </w:rPr>
              <w:t>Arquitectura</w:t>
            </w:r>
          </w:p>
        </w:tc>
      </w:tr>
      <w:tr w:rsidR="0093626A" w14:paraId="43BC2E29" w14:textId="77777777">
        <w:trPr>
          <w:trHeight w:val="300"/>
        </w:trPr>
        <w:tc>
          <w:tcPr>
            <w:tcW w:w="3120" w:type="dxa"/>
            <w:tcBorders>
              <w:bottom w:val="single" w:sz="4" w:space="0" w:color="auto"/>
            </w:tcBorders>
          </w:tcPr>
          <w:p w14:paraId="017B3391" w14:textId="77777777" w:rsidR="0093626A" w:rsidRPr="00634580" w:rsidRDefault="00000000" w:rsidP="00634580">
            <w:pPr>
              <w:spacing w:after="0" w:line="360" w:lineRule="auto"/>
              <w:rPr>
                <w:rFonts w:ascii="Arial" w:eastAsia="Arial" w:hAnsi="Arial" w:cs="Arial"/>
                <w:kern w:val="0"/>
                <w:sz w:val="24"/>
                <w:szCs w:val="24"/>
                <w:lang w:eastAsia="es-MX"/>
                <w14:ligatures w14:val="none"/>
              </w:rPr>
            </w:pPr>
            <w:r w:rsidRPr="00634580">
              <w:rPr>
                <w:rFonts w:ascii="Arial" w:eastAsia="Arial" w:hAnsi="Arial" w:cs="Arial"/>
                <w:kern w:val="0"/>
                <w:sz w:val="24"/>
                <w:szCs w:val="24"/>
                <w:lang w:eastAsia="es-MX"/>
                <w14:ligatures w14:val="none"/>
              </w:rPr>
              <w:t>Participante 5</w:t>
            </w:r>
          </w:p>
        </w:tc>
        <w:tc>
          <w:tcPr>
            <w:tcW w:w="3120" w:type="dxa"/>
            <w:tcBorders>
              <w:bottom w:val="single" w:sz="4" w:space="0" w:color="auto"/>
            </w:tcBorders>
          </w:tcPr>
          <w:p w14:paraId="6E75F5C0" w14:textId="77777777" w:rsidR="0093626A" w:rsidRPr="00634580" w:rsidRDefault="00000000" w:rsidP="00634580">
            <w:pPr>
              <w:spacing w:after="0" w:line="360" w:lineRule="auto"/>
              <w:rPr>
                <w:rFonts w:ascii="Arial" w:eastAsia="Arial" w:hAnsi="Arial" w:cs="Arial"/>
                <w:kern w:val="0"/>
                <w:sz w:val="24"/>
                <w:szCs w:val="24"/>
                <w:lang w:eastAsia="es-MX"/>
                <w14:ligatures w14:val="none"/>
              </w:rPr>
            </w:pPr>
            <w:r w:rsidRPr="00634580">
              <w:rPr>
                <w:rFonts w:ascii="Arial" w:eastAsia="Arial" w:hAnsi="Arial" w:cs="Arial"/>
                <w:kern w:val="0"/>
                <w:sz w:val="24"/>
                <w:szCs w:val="24"/>
                <w:lang w:eastAsia="es-MX"/>
                <w14:ligatures w14:val="none"/>
              </w:rPr>
              <w:t>Masculino</w:t>
            </w:r>
          </w:p>
        </w:tc>
        <w:tc>
          <w:tcPr>
            <w:tcW w:w="3120" w:type="dxa"/>
            <w:tcBorders>
              <w:bottom w:val="single" w:sz="4" w:space="0" w:color="auto"/>
            </w:tcBorders>
          </w:tcPr>
          <w:p w14:paraId="3E61A9CF" w14:textId="77777777" w:rsidR="0093626A" w:rsidRPr="00634580" w:rsidRDefault="00000000" w:rsidP="00634580">
            <w:pPr>
              <w:spacing w:after="0" w:line="360" w:lineRule="auto"/>
              <w:rPr>
                <w:rFonts w:ascii="Arial" w:eastAsia="Arial" w:hAnsi="Arial" w:cs="Arial"/>
                <w:kern w:val="0"/>
                <w:sz w:val="24"/>
                <w:szCs w:val="24"/>
                <w:lang w:eastAsia="es-MX"/>
                <w14:ligatures w14:val="none"/>
              </w:rPr>
            </w:pPr>
            <w:r w:rsidRPr="00634580">
              <w:rPr>
                <w:rFonts w:ascii="Arial" w:eastAsia="Arial" w:hAnsi="Arial" w:cs="Arial"/>
                <w:kern w:val="0"/>
                <w:sz w:val="24"/>
                <w:szCs w:val="24"/>
                <w:lang w:eastAsia="es-MX"/>
                <w14:ligatures w14:val="none"/>
              </w:rPr>
              <w:t>Ciencias Ambientales</w:t>
            </w:r>
          </w:p>
        </w:tc>
      </w:tr>
    </w:tbl>
    <w:p w14:paraId="2543AB12" w14:textId="77777777" w:rsidR="0093626A" w:rsidRPr="00634580" w:rsidRDefault="00000000" w:rsidP="00634580">
      <w:pPr>
        <w:spacing w:after="0" w:line="360" w:lineRule="auto"/>
        <w:jc w:val="both"/>
        <w:rPr>
          <w:rFonts w:ascii="Arial" w:eastAsia="Arial" w:hAnsi="Arial" w:cs="Arial"/>
          <w:kern w:val="0"/>
          <w:sz w:val="20"/>
          <w:szCs w:val="20"/>
          <w:lang w:eastAsia="es-MX"/>
          <w14:ligatures w14:val="none"/>
        </w:rPr>
      </w:pPr>
      <w:r w:rsidRPr="00634580">
        <w:rPr>
          <w:rFonts w:ascii="Arial" w:eastAsia="Arial" w:hAnsi="Arial" w:cs="Arial"/>
          <w:kern w:val="0"/>
          <w:sz w:val="20"/>
          <w:szCs w:val="20"/>
          <w:lang w:eastAsia="es-MX"/>
          <w14:ligatures w14:val="none"/>
        </w:rPr>
        <w:t>Fuente: elaboración propia</w:t>
      </w:r>
    </w:p>
    <w:p w14:paraId="300692A7" w14:textId="77777777" w:rsidR="0093626A" w:rsidRPr="00634580" w:rsidRDefault="0093626A" w:rsidP="005915A7">
      <w:pPr>
        <w:spacing w:after="0" w:line="360" w:lineRule="auto"/>
        <w:ind w:firstLine="720"/>
        <w:jc w:val="both"/>
        <w:rPr>
          <w:rFonts w:ascii="Arial" w:eastAsia="Arial" w:hAnsi="Arial" w:cs="Arial"/>
          <w:kern w:val="0"/>
          <w:sz w:val="24"/>
          <w:szCs w:val="24"/>
          <w:lang w:eastAsia="es-MX"/>
          <w14:ligatures w14:val="none"/>
        </w:rPr>
      </w:pPr>
    </w:p>
    <w:p w14:paraId="0734E497" w14:textId="77777777" w:rsidR="0093626A" w:rsidRDefault="00000000" w:rsidP="005915A7">
      <w:pPr>
        <w:spacing w:after="0" w:line="360" w:lineRule="auto"/>
        <w:ind w:firstLine="720"/>
        <w:jc w:val="both"/>
        <w:rPr>
          <w:rFonts w:ascii="Arial" w:eastAsia="Arial" w:hAnsi="Arial" w:cs="Arial"/>
          <w:kern w:val="0"/>
          <w:sz w:val="24"/>
          <w:szCs w:val="24"/>
          <w:lang w:val="es-ES" w:eastAsia="es-MX"/>
          <w14:ligatures w14:val="none"/>
        </w:rPr>
      </w:pPr>
      <w:r>
        <w:rPr>
          <w:rFonts w:ascii="Arial" w:eastAsia="Arial" w:hAnsi="Arial" w:cs="Arial"/>
          <w:kern w:val="0"/>
          <w:sz w:val="24"/>
          <w:szCs w:val="24"/>
          <w:lang w:val="es-ES" w:eastAsia="es-MX"/>
          <w14:ligatures w14:val="none"/>
        </w:rPr>
        <w:t xml:space="preserve"> La entrevista del grupo focal tuvo una duración de 90 minutos y fue conducida por la primera autora de este trabajo. Para la transcripción de la sesión se utilizó la función “Dictado” del procesador de textos Word Microsoft y para el análisis se empleó el ATLAS ti, versión 23 con herramienta de Inteligencia Artificial (IA). Dos de las investigadoras de este trabajo insertaron el mismo documento de transcripción en cada uno de sus equipos de cómputo y llevaron a cabo un análisis independiente. El resultado de la codificación por IA arrojó un análisis diferente para cada uno de los dos equipos de cómputo y generó dos perfiles de contenido: 1) </w:t>
      </w:r>
      <w:r>
        <w:rPr>
          <w:rFonts w:ascii="Arial" w:eastAsia="Arial" w:hAnsi="Arial" w:cs="Arial"/>
          <w:kern w:val="0"/>
          <w:sz w:val="24"/>
          <w:szCs w:val="24"/>
          <w:lang w:val="es-ES" w:eastAsia="es-MX"/>
          <w14:ligatures w14:val="none"/>
        </w:rPr>
        <w:lastRenderedPageBreak/>
        <w:t xml:space="preserve">Internacionalización y 2) Psicoeducativo, que coinciden con los perfiles temáticos de las investigadoras.  Se procesaron las categorías de códigos enlistadas por la IA para cada uno de los dos perfiles y los resultados se presentan en la siguiente sección. En cuanto a los aspectos éticos, se trata de una intervención sin riesgo en la que los participantes aceptaron incluirse voluntariamente. </w:t>
      </w:r>
    </w:p>
    <w:p w14:paraId="08C5F996" w14:textId="77777777" w:rsidR="0093626A" w:rsidRPr="00634580" w:rsidRDefault="0093626A" w:rsidP="00634580">
      <w:pPr>
        <w:spacing w:after="0" w:line="360" w:lineRule="auto"/>
        <w:jc w:val="both"/>
        <w:rPr>
          <w:rFonts w:ascii="Arial" w:eastAsia="Arial Unicode MS" w:hAnsi="Arial" w:cs="Arial"/>
          <w:kern w:val="0"/>
          <w:sz w:val="24"/>
          <w:szCs w:val="24"/>
          <w:lang w:eastAsia="es-MX"/>
          <w14:ligatures w14:val="none"/>
        </w:rPr>
      </w:pPr>
    </w:p>
    <w:p w14:paraId="2E04A01F" w14:textId="77777777" w:rsidR="0093626A" w:rsidRPr="00634580" w:rsidRDefault="00000000" w:rsidP="00634580">
      <w:pPr>
        <w:spacing w:after="0" w:line="360" w:lineRule="auto"/>
        <w:jc w:val="both"/>
        <w:rPr>
          <w:rFonts w:ascii="Arial" w:eastAsia="Arial Unicode MS" w:hAnsi="Arial" w:cs="Arial"/>
          <w:b/>
          <w:bCs/>
          <w:kern w:val="0"/>
          <w:sz w:val="24"/>
          <w:szCs w:val="24"/>
          <w:lang w:eastAsia="es-MX"/>
          <w14:ligatures w14:val="none"/>
        </w:rPr>
      </w:pPr>
      <w:r w:rsidRPr="00634580">
        <w:rPr>
          <w:rFonts w:ascii="Arial" w:eastAsia="Arial Unicode MS" w:hAnsi="Arial" w:cs="Arial"/>
          <w:b/>
          <w:bCs/>
          <w:kern w:val="0"/>
          <w:sz w:val="24"/>
          <w:szCs w:val="24"/>
          <w:lang w:eastAsia="es-MX"/>
          <w14:ligatures w14:val="none"/>
        </w:rPr>
        <w:t>4.- Hallazgos</w:t>
      </w:r>
    </w:p>
    <w:p w14:paraId="745DE1BF" w14:textId="77777777" w:rsidR="0093626A" w:rsidRPr="00634580" w:rsidRDefault="00000000" w:rsidP="00634580">
      <w:pPr>
        <w:spacing w:after="0" w:line="360" w:lineRule="auto"/>
        <w:jc w:val="both"/>
        <w:rPr>
          <w:rFonts w:ascii="Arial" w:eastAsia="Arial" w:hAnsi="Arial" w:cs="Arial"/>
          <w:kern w:val="0"/>
          <w:sz w:val="24"/>
          <w:szCs w:val="24"/>
          <w:lang w:eastAsia="es-MX"/>
          <w14:ligatures w14:val="none"/>
        </w:rPr>
      </w:pPr>
      <w:r w:rsidRPr="00634580">
        <w:rPr>
          <w:rFonts w:ascii="Arial" w:eastAsia="Arial" w:hAnsi="Arial" w:cs="Arial"/>
          <w:kern w:val="0"/>
          <w:sz w:val="24"/>
          <w:szCs w:val="24"/>
          <w:lang w:eastAsia="es-MX"/>
          <w14:ligatures w14:val="none"/>
        </w:rPr>
        <w:t xml:space="preserve">Cuadro 3 </w:t>
      </w:r>
    </w:p>
    <w:p w14:paraId="50AA42BE" w14:textId="77777777" w:rsidR="0093626A" w:rsidRPr="00634580" w:rsidRDefault="00000000" w:rsidP="00634580">
      <w:pPr>
        <w:pBdr>
          <w:bottom w:val="single" w:sz="4" w:space="1" w:color="auto"/>
        </w:pBdr>
        <w:spacing w:after="0" w:line="360" w:lineRule="auto"/>
        <w:jc w:val="both"/>
        <w:rPr>
          <w:rFonts w:ascii="Arial" w:eastAsia="Arial" w:hAnsi="Arial" w:cs="Arial"/>
          <w:i/>
          <w:iCs/>
          <w:kern w:val="0"/>
          <w:sz w:val="24"/>
          <w:szCs w:val="24"/>
          <w:lang w:eastAsia="es-MX"/>
          <w14:ligatures w14:val="none"/>
        </w:rPr>
      </w:pPr>
      <w:r w:rsidRPr="00634580">
        <w:rPr>
          <w:rFonts w:ascii="Arial" w:eastAsia="Arial" w:hAnsi="Arial" w:cs="Arial"/>
          <w:i/>
          <w:iCs/>
          <w:kern w:val="0"/>
          <w:sz w:val="24"/>
          <w:szCs w:val="24"/>
          <w:lang w:eastAsia="es-MX"/>
          <w14:ligatures w14:val="none"/>
        </w:rPr>
        <w:t>Clasificación de categorías identificadas por Inteligencia Artificial</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0"/>
        <w:gridCol w:w="4680"/>
      </w:tblGrid>
      <w:tr w:rsidR="0093626A" w14:paraId="212B52EC" w14:textId="77777777">
        <w:trPr>
          <w:trHeight w:val="300"/>
        </w:trPr>
        <w:tc>
          <w:tcPr>
            <w:tcW w:w="4680" w:type="dxa"/>
            <w:tcBorders>
              <w:bottom w:val="single" w:sz="4" w:space="0" w:color="auto"/>
            </w:tcBorders>
          </w:tcPr>
          <w:p w14:paraId="2ECF4239" w14:textId="77777777" w:rsidR="0093626A" w:rsidRPr="00634580" w:rsidRDefault="00000000" w:rsidP="00634580">
            <w:pPr>
              <w:spacing w:after="0" w:line="360" w:lineRule="auto"/>
              <w:rPr>
                <w:rFonts w:ascii="Arial" w:eastAsia="Arial" w:hAnsi="Arial" w:cs="Arial"/>
                <w:kern w:val="0"/>
                <w:sz w:val="24"/>
                <w:szCs w:val="24"/>
                <w:lang w:eastAsia="es-MX"/>
                <w14:ligatures w14:val="none"/>
              </w:rPr>
            </w:pPr>
            <w:r w:rsidRPr="00634580">
              <w:rPr>
                <w:rFonts w:ascii="Arial" w:eastAsia="Arial" w:hAnsi="Arial" w:cs="Arial"/>
                <w:kern w:val="0"/>
                <w:sz w:val="24"/>
                <w:szCs w:val="24"/>
                <w:lang w:eastAsia="es-MX"/>
                <w14:ligatures w14:val="none"/>
              </w:rPr>
              <w:t>Internacionalización</w:t>
            </w:r>
          </w:p>
        </w:tc>
        <w:tc>
          <w:tcPr>
            <w:tcW w:w="4680" w:type="dxa"/>
            <w:tcBorders>
              <w:bottom w:val="single" w:sz="4" w:space="0" w:color="auto"/>
            </w:tcBorders>
          </w:tcPr>
          <w:p w14:paraId="602C5E52" w14:textId="77777777" w:rsidR="0093626A" w:rsidRPr="00634580" w:rsidRDefault="00000000" w:rsidP="00634580">
            <w:pPr>
              <w:spacing w:after="0" w:line="360" w:lineRule="auto"/>
              <w:rPr>
                <w:rFonts w:ascii="Arial" w:eastAsia="Arial" w:hAnsi="Arial" w:cs="Arial"/>
                <w:kern w:val="0"/>
                <w:sz w:val="24"/>
                <w:szCs w:val="24"/>
                <w:lang w:eastAsia="es-MX"/>
                <w14:ligatures w14:val="none"/>
              </w:rPr>
            </w:pPr>
            <w:r w:rsidRPr="00634580">
              <w:rPr>
                <w:rFonts w:ascii="Arial" w:eastAsia="Arial" w:hAnsi="Arial" w:cs="Arial"/>
                <w:kern w:val="0"/>
                <w:sz w:val="24"/>
                <w:szCs w:val="24"/>
                <w:lang w:eastAsia="es-MX"/>
                <w14:ligatures w14:val="none"/>
              </w:rPr>
              <w:t>Psico-educativo</w:t>
            </w:r>
          </w:p>
        </w:tc>
      </w:tr>
      <w:tr w:rsidR="0093626A" w14:paraId="4236AC2F" w14:textId="77777777">
        <w:trPr>
          <w:trHeight w:val="300"/>
        </w:trPr>
        <w:tc>
          <w:tcPr>
            <w:tcW w:w="4680" w:type="dxa"/>
            <w:tcBorders>
              <w:top w:val="single" w:sz="4" w:space="0" w:color="auto"/>
              <w:bottom w:val="single" w:sz="4" w:space="0" w:color="auto"/>
            </w:tcBorders>
          </w:tcPr>
          <w:p w14:paraId="1618E720" w14:textId="77777777" w:rsidR="0093626A" w:rsidRPr="00634580" w:rsidRDefault="00000000" w:rsidP="00634580">
            <w:pPr>
              <w:numPr>
                <w:ilvl w:val="0"/>
                <w:numId w:val="6"/>
              </w:numPr>
              <w:spacing w:after="0" w:line="360" w:lineRule="auto"/>
              <w:rPr>
                <w:rFonts w:ascii="Arial" w:eastAsia="Arial" w:hAnsi="Arial" w:cs="Arial"/>
                <w:kern w:val="0"/>
                <w:sz w:val="24"/>
                <w:szCs w:val="24"/>
                <w:lang w:eastAsia="es-MX"/>
                <w14:ligatures w14:val="none"/>
              </w:rPr>
            </w:pPr>
            <w:r w:rsidRPr="00634580">
              <w:rPr>
                <w:rFonts w:ascii="Arial" w:eastAsia="Arial" w:hAnsi="Arial" w:cs="Arial"/>
                <w:kern w:val="0"/>
                <w:sz w:val="24"/>
                <w:szCs w:val="24"/>
                <w:lang w:eastAsia="es-MX"/>
                <w14:ligatures w14:val="none"/>
              </w:rPr>
              <w:t>Dificultades</w:t>
            </w:r>
          </w:p>
          <w:p w14:paraId="546783BA" w14:textId="77777777" w:rsidR="0093626A" w:rsidRPr="00634580" w:rsidRDefault="00000000" w:rsidP="00634580">
            <w:pPr>
              <w:numPr>
                <w:ilvl w:val="0"/>
                <w:numId w:val="6"/>
              </w:numPr>
              <w:spacing w:after="0" w:line="360" w:lineRule="auto"/>
              <w:rPr>
                <w:rFonts w:ascii="Arial" w:hAnsi="Arial" w:cs="Arial"/>
                <w:kern w:val="0"/>
                <w:sz w:val="24"/>
                <w:szCs w:val="24"/>
                <w:lang w:eastAsia="es-MX"/>
                <w14:ligatures w14:val="none"/>
              </w:rPr>
            </w:pPr>
            <w:r w:rsidRPr="00634580">
              <w:rPr>
                <w:rFonts w:ascii="Arial" w:eastAsia="Arial" w:hAnsi="Arial" w:cs="Arial"/>
                <w:kern w:val="0"/>
                <w:sz w:val="24"/>
                <w:szCs w:val="24"/>
                <w:lang w:eastAsia="es-MX"/>
                <w14:ligatures w14:val="none"/>
              </w:rPr>
              <w:t>Experiencia de estancia</w:t>
            </w:r>
          </w:p>
          <w:p w14:paraId="22354CE4" w14:textId="77777777" w:rsidR="0093626A" w:rsidRPr="00634580" w:rsidRDefault="00000000" w:rsidP="00634580">
            <w:pPr>
              <w:numPr>
                <w:ilvl w:val="0"/>
                <w:numId w:val="6"/>
              </w:numPr>
              <w:spacing w:after="0" w:line="360" w:lineRule="auto"/>
              <w:rPr>
                <w:rFonts w:ascii="Arial" w:hAnsi="Arial" w:cs="Arial"/>
                <w:kern w:val="0"/>
                <w:sz w:val="24"/>
                <w:szCs w:val="24"/>
                <w:lang w:eastAsia="es-MX"/>
                <w14:ligatures w14:val="none"/>
              </w:rPr>
            </w:pPr>
            <w:r w:rsidRPr="00634580">
              <w:rPr>
                <w:rFonts w:ascii="Arial" w:eastAsia="Arial" w:hAnsi="Arial" w:cs="Arial"/>
                <w:kern w:val="0"/>
                <w:sz w:val="24"/>
                <w:szCs w:val="24"/>
                <w:lang w:eastAsia="es-MX"/>
                <w14:ligatures w14:val="none"/>
              </w:rPr>
              <w:t>Innovación</w:t>
            </w:r>
          </w:p>
          <w:p w14:paraId="71D383E4" w14:textId="77777777" w:rsidR="0093626A" w:rsidRPr="00634580" w:rsidRDefault="00000000" w:rsidP="00634580">
            <w:pPr>
              <w:numPr>
                <w:ilvl w:val="0"/>
                <w:numId w:val="6"/>
              </w:numPr>
              <w:spacing w:after="0" w:line="360" w:lineRule="auto"/>
              <w:rPr>
                <w:rFonts w:ascii="Arial" w:hAnsi="Arial" w:cs="Arial"/>
                <w:kern w:val="0"/>
                <w:sz w:val="24"/>
                <w:szCs w:val="24"/>
                <w:lang w:eastAsia="es-MX"/>
                <w14:ligatures w14:val="none"/>
              </w:rPr>
            </w:pPr>
            <w:r w:rsidRPr="00634580">
              <w:rPr>
                <w:rFonts w:ascii="Arial" w:eastAsia="Arial" w:hAnsi="Arial" w:cs="Arial"/>
                <w:kern w:val="0"/>
                <w:sz w:val="24"/>
                <w:szCs w:val="24"/>
                <w:lang w:eastAsia="es-MX"/>
                <w14:ligatures w14:val="none"/>
              </w:rPr>
              <w:t>Interculturalidad</w:t>
            </w:r>
          </w:p>
          <w:p w14:paraId="5A77C374" w14:textId="77777777" w:rsidR="0093626A" w:rsidRPr="00634580" w:rsidRDefault="00000000" w:rsidP="00634580">
            <w:pPr>
              <w:numPr>
                <w:ilvl w:val="0"/>
                <w:numId w:val="6"/>
              </w:numPr>
              <w:spacing w:after="0" w:line="360" w:lineRule="auto"/>
              <w:rPr>
                <w:rFonts w:ascii="Arial" w:hAnsi="Arial" w:cs="Arial"/>
                <w:kern w:val="0"/>
                <w:sz w:val="24"/>
                <w:szCs w:val="24"/>
                <w:lang w:eastAsia="es-MX"/>
                <w14:ligatures w14:val="none"/>
              </w:rPr>
            </w:pPr>
            <w:r w:rsidRPr="00634580">
              <w:rPr>
                <w:rFonts w:ascii="Arial" w:eastAsia="Arial" w:hAnsi="Arial" w:cs="Arial"/>
                <w:kern w:val="0"/>
                <w:sz w:val="24"/>
                <w:szCs w:val="24"/>
                <w:lang w:eastAsia="es-MX"/>
                <w14:ligatures w14:val="none"/>
              </w:rPr>
              <w:t>Investigación</w:t>
            </w:r>
          </w:p>
          <w:p w14:paraId="3F921C45" w14:textId="77777777" w:rsidR="0093626A" w:rsidRPr="00634580" w:rsidRDefault="00000000" w:rsidP="00634580">
            <w:pPr>
              <w:numPr>
                <w:ilvl w:val="0"/>
                <w:numId w:val="6"/>
              </w:numPr>
              <w:spacing w:after="0" w:line="360" w:lineRule="auto"/>
              <w:rPr>
                <w:rFonts w:ascii="Arial" w:hAnsi="Arial" w:cs="Arial"/>
                <w:kern w:val="0"/>
                <w:sz w:val="24"/>
                <w:szCs w:val="24"/>
                <w:lang w:eastAsia="es-MX"/>
                <w14:ligatures w14:val="none"/>
              </w:rPr>
            </w:pPr>
            <w:r w:rsidRPr="00634580">
              <w:rPr>
                <w:rFonts w:ascii="Arial" w:eastAsia="Arial" w:hAnsi="Arial" w:cs="Arial"/>
                <w:kern w:val="0"/>
                <w:sz w:val="24"/>
                <w:szCs w:val="24"/>
                <w:lang w:eastAsia="es-MX"/>
                <w14:ligatures w14:val="none"/>
              </w:rPr>
              <w:t>Materiales</w:t>
            </w:r>
          </w:p>
        </w:tc>
        <w:tc>
          <w:tcPr>
            <w:tcW w:w="4680" w:type="dxa"/>
            <w:tcBorders>
              <w:top w:val="single" w:sz="4" w:space="0" w:color="auto"/>
              <w:bottom w:val="single" w:sz="4" w:space="0" w:color="auto"/>
            </w:tcBorders>
          </w:tcPr>
          <w:p w14:paraId="635368D1" w14:textId="77777777" w:rsidR="0093626A" w:rsidRPr="00634580" w:rsidRDefault="00000000" w:rsidP="00634580">
            <w:pPr>
              <w:numPr>
                <w:ilvl w:val="0"/>
                <w:numId w:val="6"/>
              </w:numPr>
              <w:spacing w:after="0" w:line="360" w:lineRule="auto"/>
              <w:rPr>
                <w:rFonts w:ascii="Arial" w:eastAsia="Arial" w:hAnsi="Arial" w:cs="Arial"/>
                <w:kern w:val="0"/>
                <w:sz w:val="24"/>
                <w:szCs w:val="24"/>
                <w:lang w:eastAsia="es-MX"/>
                <w14:ligatures w14:val="none"/>
              </w:rPr>
            </w:pPr>
            <w:r w:rsidRPr="00634580">
              <w:rPr>
                <w:rFonts w:ascii="Arial" w:eastAsia="Arial" w:hAnsi="Arial" w:cs="Arial"/>
                <w:kern w:val="0"/>
                <w:sz w:val="24"/>
                <w:szCs w:val="24"/>
                <w:lang w:eastAsia="es-MX"/>
                <w14:ligatures w14:val="none"/>
              </w:rPr>
              <w:t>Cultura</w:t>
            </w:r>
          </w:p>
          <w:p w14:paraId="11E90D65" w14:textId="77777777" w:rsidR="0093626A" w:rsidRPr="00634580" w:rsidRDefault="00000000" w:rsidP="00634580">
            <w:pPr>
              <w:numPr>
                <w:ilvl w:val="0"/>
                <w:numId w:val="6"/>
              </w:numPr>
              <w:spacing w:after="0" w:line="360" w:lineRule="auto"/>
              <w:rPr>
                <w:rFonts w:ascii="Arial" w:hAnsi="Arial" w:cs="Arial"/>
                <w:kern w:val="0"/>
                <w:sz w:val="24"/>
                <w:szCs w:val="24"/>
                <w:lang w:eastAsia="es-MX"/>
                <w14:ligatures w14:val="none"/>
              </w:rPr>
            </w:pPr>
            <w:r w:rsidRPr="00634580">
              <w:rPr>
                <w:rFonts w:ascii="Arial" w:eastAsia="Arial" w:hAnsi="Arial" w:cs="Arial"/>
                <w:kern w:val="0"/>
                <w:sz w:val="24"/>
                <w:szCs w:val="24"/>
                <w:lang w:eastAsia="es-MX"/>
                <w14:ligatures w14:val="none"/>
              </w:rPr>
              <w:t>Dificultades emocionales</w:t>
            </w:r>
          </w:p>
          <w:p w14:paraId="34B38BA6" w14:textId="77777777" w:rsidR="0093626A" w:rsidRPr="00634580" w:rsidRDefault="00000000" w:rsidP="00634580">
            <w:pPr>
              <w:numPr>
                <w:ilvl w:val="0"/>
                <w:numId w:val="6"/>
              </w:numPr>
              <w:spacing w:after="0" w:line="360" w:lineRule="auto"/>
              <w:rPr>
                <w:rFonts w:ascii="Arial" w:hAnsi="Arial" w:cs="Arial"/>
                <w:kern w:val="0"/>
                <w:sz w:val="24"/>
                <w:szCs w:val="24"/>
                <w:lang w:eastAsia="es-MX"/>
                <w14:ligatures w14:val="none"/>
              </w:rPr>
            </w:pPr>
            <w:r w:rsidRPr="00634580">
              <w:rPr>
                <w:rFonts w:ascii="Arial" w:eastAsia="Arial" w:hAnsi="Arial" w:cs="Arial"/>
                <w:kern w:val="0"/>
                <w:sz w:val="24"/>
                <w:szCs w:val="24"/>
                <w:lang w:eastAsia="es-MX"/>
                <w14:ligatures w14:val="none"/>
              </w:rPr>
              <w:t>Educación universitaria</w:t>
            </w:r>
          </w:p>
          <w:p w14:paraId="67011C5F" w14:textId="77777777" w:rsidR="0093626A" w:rsidRPr="00634580" w:rsidRDefault="00000000" w:rsidP="00634580">
            <w:pPr>
              <w:numPr>
                <w:ilvl w:val="0"/>
                <w:numId w:val="6"/>
              </w:numPr>
              <w:spacing w:after="0" w:line="360" w:lineRule="auto"/>
              <w:rPr>
                <w:rFonts w:ascii="Arial" w:hAnsi="Arial" w:cs="Arial"/>
                <w:kern w:val="0"/>
                <w:sz w:val="24"/>
                <w:szCs w:val="24"/>
                <w:lang w:eastAsia="es-MX"/>
                <w14:ligatures w14:val="none"/>
              </w:rPr>
            </w:pPr>
            <w:r w:rsidRPr="00634580">
              <w:rPr>
                <w:rFonts w:ascii="Arial" w:eastAsia="Arial" w:hAnsi="Arial" w:cs="Arial"/>
                <w:kern w:val="0"/>
                <w:sz w:val="24"/>
                <w:szCs w:val="24"/>
                <w:lang w:eastAsia="es-MX"/>
                <w14:ligatures w14:val="none"/>
              </w:rPr>
              <w:t>Experiencia en el extranjero</w:t>
            </w:r>
          </w:p>
          <w:p w14:paraId="30AA43C7" w14:textId="77777777" w:rsidR="0093626A" w:rsidRPr="00634580" w:rsidRDefault="00000000" w:rsidP="00634580">
            <w:pPr>
              <w:numPr>
                <w:ilvl w:val="0"/>
                <w:numId w:val="6"/>
              </w:numPr>
              <w:spacing w:after="0" w:line="360" w:lineRule="auto"/>
              <w:rPr>
                <w:rFonts w:ascii="Arial" w:hAnsi="Arial" w:cs="Arial"/>
                <w:kern w:val="0"/>
                <w:sz w:val="24"/>
                <w:szCs w:val="24"/>
                <w:lang w:eastAsia="es-MX"/>
                <w14:ligatures w14:val="none"/>
              </w:rPr>
            </w:pPr>
            <w:r w:rsidRPr="00634580">
              <w:rPr>
                <w:rFonts w:ascii="Arial" w:eastAsia="Arial" w:hAnsi="Arial" w:cs="Arial"/>
                <w:kern w:val="0"/>
                <w:sz w:val="24"/>
                <w:szCs w:val="24"/>
                <w:lang w:eastAsia="es-MX"/>
                <w14:ligatures w14:val="none"/>
              </w:rPr>
              <w:t>Interacción</w:t>
            </w:r>
          </w:p>
          <w:p w14:paraId="0EF6E5EA" w14:textId="77777777" w:rsidR="0093626A" w:rsidRPr="00634580" w:rsidRDefault="00000000" w:rsidP="00634580">
            <w:pPr>
              <w:numPr>
                <w:ilvl w:val="0"/>
                <w:numId w:val="6"/>
              </w:numPr>
              <w:spacing w:after="0" w:line="360" w:lineRule="auto"/>
              <w:rPr>
                <w:rFonts w:ascii="Arial" w:hAnsi="Arial" w:cs="Arial"/>
                <w:kern w:val="0"/>
                <w:sz w:val="24"/>
                <w:szCs w:val="24"/>
                <w:lang w:eastAsia="es-MX"/>
                <w14:ligatures w14:val="none"/>
              </w:rPr>
            </w:pPr>
            <w:r w:rsidRPr="00634580">
              <w:rPr>
                <w:rFonts w:ascii="Arial" w:eastAsia="Arial" w:hAnsi="Arial" w:cs="Arial"/>
                <w:kern w:val="0"/>
                <w:sz w:val="24"/>
                <w:szCs w:val="24"/>
                <w:lang w:eastAsia="es-MX"/>
                <w14:ligatures w14:val="none"/>
              </w:rPr>
              <w:t>Salud</w:t>
            </w:r>
          </w:p>
          <w:p w14:paraId="30DEF376" w14:textId="77777777" w:rsidR="0093626A" w:rsidRPr="00634580" w:rsidRDefault="00000000" w:rsidP="00634580">
            <w:pPr>
              <w:numPr>
                <w:ilvl w:val="0"/>
                <w:numId w:val="6"/>
              </w:numPr>
              <w:spacing w:after="0" w:line="360" w:lineRule="auto"/>
              <w:rPr>
                <w:rFonts w:ascii="Arial" w:eastAsia="Arial" w:hAnsi="Arial" w:cs="Arial"/>
                <w:kern w:val="0"/>
                <w:sz w:val="24"/>
                <w:szCs w:val="24"/>
                <w:lang w:eastAsia="es-MX"/>
                <w14:ligatures w14:val="none"/>
              </w:rPr>
            </w:pPr>
            <w:r w:rsidRPr="00634580">
              <w:rPr>
                <w:rFonts w:ascii="Arial" w:eastAsia="Arial" w:hAnsi="Arial" w:cs="Arial"/>
                <w:kern w:val="0"/>
                <w:sz w:val="24"/>
                <w:szCs w:val="24"/>
                <w:lang w:eastAsia="es-MX"/>
                <w14:ligatures w14:val="none"/>
              </w:rPr>
              <w:t>Sentimientos negativos</w:t>
            </w:r>
          </w:p>
          <w:p w14:paraId="742ECB35" w14:textId="77777777" w:rsidR="0093626A" w:rsidRPr="00634580" w:rsidRDefault="00000000" w:rsidP="00634580">
            <w:pPr>
              <w:numPr>
                <w:ilvl w:val="0"/>
                <w:numId w:val="6"/>
              </w:numPr>
              <w:spacing w:after="0" w:line="360" w:lineRule="auto"/>
              <w:rPr>
                <w:rFonts w:ascii="Arial" w:hAnsi="Arial" w:cs="Arial"/>
                <w:kern w:val="0"/>
                <w:sz w:val="24"/>
                <w:szCs w:val="24"/>
                <w:lang w:eastAsia="es-MX"/>
                <w14:ligatures w14:val="none"/>
              </w:rPr>
            </w:pPr>
            <w:r w:rsidRPr="00634580">
              <w:rPr>
                <w:rFonts w:ascii="Arial" w:eastAsia="Arial" w:hAnsi="Arial" w:cs="Arial"/>
                <w:kern w:val="0"/>
                <w:sz w:val="24"/>
                <w:szCs w:val="24"/>
                <w:lang w:eastAsia="es-MX"/>
                <w14:ligatures w14:val="none"/>
              </w:rPr>
              <w:t xml:space="preserve">Interacción y responsabilidad </w:t>
            </w:r>
          </w:p>
        </w:tc>
      </w:tr>
    </w:tbl>
    <w:p w14:paraId="467871B2" w14:textId="77777777" w:rsidR="0093626A" w:rsidRPr="00634580" w:rsidRDefault="00000000" w:rsidP="005915A7">
      <w:pPr>
        <w:spacing w:after="0" w:line="360" w:lineRule="auto"/>
        <w:ind w:firstLine="360"/>
        <w:jc w:val="both"/>
        <w:rPr>
          <w:rFonts w:ascii="Arial" w:eastAsia="Arial" w:hAnsi="Arial" w:cs="Arial"/>
          <w:kern w:val="0"/>
          <w:sz w:val="20"/>
          <w:szCs w:val="20"/>
          <w:lang w:eastAsia="es-MX"/>
          <w14:ligatures w14:val="none"/>
        </w:rPr>
      </w:pPr>
      <w:r w:rsidRPr="00634580">
        <w:rPr>
          <w:rFonts w:ascii="Arial" w:eastAsia="Arial" w:hAnsi="Arial" w:cs="Arial"/>
          <w:kern w:val="0"/>
          <w:sz w:val="20"/>
          <w:szCs w:val="20"/>
          <w:lang w:eastAsia="es-MX"/>
          <w14:ligatures w14:val="none"/>
        </w:rPr>
        <w:t>Fuente: elaboración propia</w:t>
      </w:r>
    </w:p>
    <w:p w14:paraId="15AEA5B7" w14:textId="77777777" w:rsidR="0093626A" w:rsidRDefault="0093626A" w:rsidP="005915A7">
      <w:pPr>
        <w:spacing w:after="0" w:line="360" w:lineRule="auto"/>
        <w:jc w:val="both"/>
        <w:rPr>
          <w:rFonts w:ascii="Arial" w:eastAsia="Arial" w:hAnsi="Arial" w:cs="Arial"/>
          <w:kern w:val="0"/>
          <w:sz w:val="24"/>
          <w:szCs w:val="24"/>
          <w:lang w:eastAsia="es-MX"/>
          <w14:ligatures w14:val="none"/>
        </w:rPr>
      </w:pPr>
    </w:p>
    <w:p w14:paraId="68180E1B" w14:textId="77777777" w:rsidR="0093626A" w:rsidRDefault="00000000" w:rsidP="005915A7">
      <w:pPr>
        <w:numPr>
          <w:ilvl w:val="0"/>
          <w:numId w:val="7"/>
        </w:numPr>
        <w:spacing w:after="0" w:line="360" w:lineRule="auto"/>
        <w:jc w:val="both"/>
        <w:rPr>
          <w:rFonts w:ascii="Arial" w:eastAsia="Arial" w:hAnsi="Arial" w:cs="Arial"/>
          <w:kern w:val="0"/>
          <w:sz w:val="24"/>
          <w:szCs w:val="24"/>
          <w:lang w:eastAsia="es-MX"/>
          <w14:ligatures w14:val="none"/>
        </w:rPr>
      </w:pPr>
      <w:r>
        <w:rPr>
          <w:rFonts w:ascii="Arial" w:eastAsia="Arial" w:hAnsi="Arial" w:cs="Arial"/>
          <w:kern w:val="0"/>
          <w:sz w:val="24"/>
          <w:szCs w:val="24"/>
          <w:lang w:eastAsia="es-MX"/>
          <w14:ligatures w14:val="none"/>
        </w:rPr>
        <w:t>Hallazgos Códigos de Internacionalización</w:t>
      </w:r>
    </w:p>
    <w:p w14:paraId="7DE21D96" w14:textId="77777777" w:rsidR="0093626A" w:rsidRDefault="00000000" w:rsidP="005915A7">
      <w:pPr>
        <w:spacing w:after="0" w:line="360" w:lineRule="auto"/>
        <w:jc w:val="both"/>
        <w:rPr>
          <w:rFonts w:ascii="Arial" w:eastAsia="Arial" w:hAnsi="Arial" w:cs="Arial"/>
          <w:kern w:val="0"/>
          <w:sz w:val="24"/>
          <w:szCs w:val="24"/>
          <w:lang w:eastAsia="es-MX"/>
          <w14:ligatures w14:val="none"/>
        </w:rPr>
      </w:pPr>
      <w:r>
        <w:rPr>
          <w:rFonts w:ascii="Arial" w:eastAsia="Arial" w:hAnsi="Arial" w:cs="Arial"/>
          <w:kern w:val="0"/>
          <w:sz w:val="24"/>
          <w:szCs w:val="24"/>
          <w:lang w:eastAsia="es-MX"/>
          <w14:ligatures w14:val="none"/>
        </w:rPr>
        <w:t xml:space="preserve">En cuanto a los hallazgos del ejercicio, se identificó que los participantes destacaron varios beneficios que resultaron de sus estancias internacionales, como comparar el funcionamiento de metodologías de enseñanza en grupos de diferentes contextos culturales, el aprendizaje de estrategias docentes distintas, el establecimiento de nuevas relaciones de colaboración, así como la adquisición de nuevas perspectivas y conocimientos en sus áreas de estudio. Todo ello, mientras impulsan la colaboración entre instituciones, desarrollan nuevos vínculos internacionales y representan con su propia piel a los nuevos modelos de educación global e intercultural. </w:t>
      </w:r>
    </w:p>
    <w:p w14:paraId="66960664" w14:textId="77777777" w:rsidR="0093626A" w:rsidRDefault="0093626A" w:rsidP="005915A7">
      <w:pPr>
        <w:spacing w:after="0" w:line="360" w:lineRule="auto"/>
        <w:jc w:val="both"/>
        <w:rPr>
          <w:rFonts w:ascii="Arial" w:eastAsia="Arial" w:hAnsi="Arial" w:cs="Arial"/>
          <w:kern w:val="0"/>
          <w:sz w:val="24"/>
          <w:szCs w:val="24"/>
          <w:lang w:eastAsia="es-MX"/>
          <w14:ligatures w14:val="none"/>
        </w:rPr>
      </w:pPr>
    </w:p>
    <w:p w14:paraId="248010C2" w14:textId="77777777" w:rsidR="0093626A" w:rsidRDefault="00000000" w:rsidP="005915A7">
      <w:pPr>
        <w:spacing w:after="0" w:line="360" w:lineRule="auto"/>
        <w:jc w:val="both"/>
        <w:rPr>
          <w:rFonts w:ascii="Arial" w:eastAsia="Arial" w:hAnsi="Arial" w:cs="Arial"/>
          <w:kern w:val="0"/>
          <w:sz w:val="24"/>
          <w:szCs w:val="24"/>
          <w:lang w:eastAsia="es-MX"/>
          <w14:ligatures w14:val="none"/>
        </w:rPr>
      </w:pPr>
      <w:r>
        <w:rPr>
          <w:rFonts w:ascii="Arial" w:eastAsia="Arial" w:hAnsi="Arial" w:cs="Arial"/>
          <w:kern w:val="0"/>
          <w:sz w:val="24"/>
          <w:szCs w:val="24"/>
          <w:lang w:eastAsia="es-MX"/>
          <w14:ligatures w14:val="none"/>
        </w:rPr>
        <w:lastRenderedPageBreak/>
        <w:t>CÓDIGO: EXPERIENCIAS DE ESTANCIA</w:t>
      </w:r>
    </w:p>
    <w:p w14:paraId="52B60F44" w14:textId="77777777" w:rsidR="0093626A" w:rsidRDefault="00000000" w:rsidP="005915A7">
      <w:pPr>
        <w:spacing w:after="0" w:line="360" w:lineRule="auto"/>
        <w:jc w:val="both"/>
        <w:rPr>
          <w:rFonts w:ascii="Arial" w:eastAsia="Arial" w:hAnsi="Arial" w:cs="Arial"/>
          <w:kern w:val="0"/>
          <w:sz w:val="24"/>
          <w:szCs w:val="24"/>
          <w:lang w:val="es-ES" w:eastAsia="es-MX"/>
          <w14:ligatures w14:val="none"/>
        </w:rPr>
      </w:pPr>
      <w:r>
        <w:rPr>
          <w:rFonts w:ascii="Arial" w:eastAsia="Arial" w:hAnsi="Arial" w:cs="Arial"/>
          <w:kern w:val="0"/>
          <w:sz w:val="24"/>
          <w:szCs w:val="24"/>
          <w:lang w:val="es-ES" w:eastAsia="es-MX"/>
          <w14:ligatures w14:val="none"/>
        </w:rPr>
        <w:t xml:space="preserve">En lo que respecta a la experiencia general como profesores internacionales, a pesar de las complicaciones y sorpresas que llegaron a suceder, todos concluyeron en que sus estancias fueron experiencias que impulsaron su crecimiento personal y profesional, además de la oportunidad que representó para adquirir nuevas perspectivas y conocimientos. </w:t>
      </w:r>
    </w:p>
    <w:p w14:paraId="6AF258CB" w14:textId="77777777" w:rsidR="0093626A" w:rsidRDefault="0093626A" w:rsidP="005915A7">
      <w:pPr>
        <w:spacing w:after="0" w:line="360" w:lineRule="auto"/>
        <w:jc w:val="both"/>
        <w:rPr>
          <w:rFonts w:ascii="Arial" w:eastAsia="Arial" w:hAnsi="Arial" w:cs="Arial"/>
          <w:kern w:val="0"/>
          <w:sz w:val="24"/>
          <w:szCs w:val="24"/>
          <w:lang w:eastAsia="es-MX"/>
          <w14:ligatures w14:val="none"/>
        </w:rPr>
      </w:pPr>
    </w:p>
    <w:p w14:paraId="6E454D18" w14:textId="77777777" w:rsidR="0093626A" w:rsidRDefault="00000000" w:rsidP="00634580">
      <w:pPr>
        <w:spacing w:after="0" w:line="360" w:lineRule="auto"/>
        <w:ind w:firstLine="708"/>
        <w:jc w:val="both"/>
        <w:rPr>
          <w:rFonts w:ascii="Arial" w:eastAsia="Arial" w:hAnsi="Arial" w:cs="Arial"/>
          <w:kern w:val="0"/>
          <w:sz w:val="24"/>
          <w:szCs w:val="24"/>
          <w:lang w:eastAsia="es-MX"/>
          <w14:ligatures w14:val="none"/>
        </w:rPr>
      </w:pPr>
      <w:r>
        <w:rPr>
          <w:rFonts w:ascii="Arial" w:eastAsia="Arial" w:hAnsi="Arial" w:cs="Arial"/>
          <w:kern w:val="0"/>
          <w:sz w:val="24"/>
          <w:szCs w:val="24"/>
          <w:lang w:eastAsia="es-MX"/>
          <w14:ligatures w14:val="none"/>
        </w:rPr>
        <w:t>Una situación que fue señalada por el participante 5, fue en la diferencia en cuanto a la atención y hospitalidad, en comparación con experiencias que había tenido previamente al recibir a profesores internacionales en México. “</w:t>
      </w:r>
      <w:r>
        <w:rPr>
          <w:rFonts w:ascii="Arial" w:eastAsia="Arial" w:hAnsi="Arial" w:cs="Arial"/>
          <w:i/>
          <w:iCs/>
          <w:kern w:val="0"/>
          <w:sz w:val="24"/>
          <w:szCs w:val="24"/>
          <w:lang w:eastAsia="es-MX"/>
          <w14:ligatures w14:val="none"/>
        </w:rPr>
        <w:t>Cuando empiezas, sólo te dicen cuándo debes estar ahí y tú te las tienes que arreglar para llegar a la estación de tren, tomar tu taxi y llegar a dónde vas a quedarte.  Aquí en el caso mío, la institución que me invitó me pagó el hospedaje, pero no se hacen cargo de ti para nada. Entonces tienes que ir bien preparado para eso</w:t>
      </w:r>
      <w:r>
        <w:rPr>
          <w:rFonts w:ascii="Arial" w:eastAsia="Arial" w:hAnsi="Arial" w:cs="Arial"/>
          <w:kern w:val="0"/>
          <w:sz w:val="24"/>
          <w:szCs w:val="24"/>
          <w:lang w:eastAsia="es-MX"/>
          <w14:ligatures w14:val="none"/>
        </w:rPr>
        <w:t>.” (Participante 5).  Igualmente, el participante 4, señaló que, aunque su estancia fue en un contexto hispanohablante, las dificultades del acompañamiento surgieron debido a las diferencias culturales. “</w:t>
      </w:r>
      <w:r>
        <w:rPr>
          <w:rFonts w:ascii="Arial" w:eastAsia="Arial" w:hAnsi="Arial" w:cs="Arial"/>
          <w:i/>
          <w:iCs/>
          <w:kern w:val="0"/>
          <w:sz w:val="24"/>
          <w:szCs w:val="24"/>
          <w:lang w:eastAsia="es-MX"/>
          <w14:ligatures w14:val="none"/>
        </w:rPr>
        <w:t>Es un poquito ese conflicto de cómo abordar o enfrentar algo que no conoces, que es algo complicado de este punto entender que los demás no te llegan a estar atendiendo, sino que tú tienes que buscar ser completamente autosuficiente.”</w:t>
      </w:r>
    </w:p>
    <w:p w14:paraId="73AB7A8A" w14:textId="77777777" w:rsidR="0093626A" w:rsidRDefault="0093626A" w:rsidP="005915A7">
      <w:pPr>
        <w:spacing w:after="0" w:line="360" w:lineRule="auto"/>
        <w:jc w:val="both"/>
        <w:rPr>
          <w:rFonts w:ascii="Arial" w:eastAsia="Arial" w:hAnsi="Arial" w:cs="Arial"/>
          <w:i/>
          <w:iCs/>
          <w:kern w:val="0"/>
          <w:sz w:val="24"/>
          <w:szCs w:val="24"/>
          <w:lang w:eastAsia="es-MX"/>
          <w14:ligatures w14:val="none"/>
        </w:rPr>
      </w:pPr>
    </w:p>
    <w:p w14:paraId="148904D5" w14:textId="77777777" w:rsidR="0093626A" w:rsidRDefault="00000000" w:rsidP="00634580">
      <w:pPr>
        <w:spacing w:after="0" w:line="360" w:lineRule="auto"/>
        <w:ind w:firstLine="708"/>
        <w:jc w:val="both"/>
        <w:rPr>
          <w:rFonts w:ascii="Arial" w:eastAsia="Arial" w:hAnsi="Arial" w:cs="Arial"/>
          <w:i/>
          <w:iCs/>
          <w:kern w:val="0"/>
          <w:sz w:val="24"/>
          <w:szCs w:val="24"/>
          <w:lang w:val="es-ES" w:eastAsia="es-MX"/>
          <w14:ligatures w14:val="none"/>
        </w:rPr>
      </w:pPr>
      <w:r>
        <w:rPr>
          <w:rFonts w:ascii="Arial" w:eastAsia="Arial" w:hAnsi="Arial" w:cs="Arial"/>
          <w:kern w:val="0"/>
          <w:sz w:val="24"/>
          <w:szCs w:val="24"/>
          <w:lang w:val="es-ES" w:eastAsia="es-MX"/>
          <w14:ligatures w14:val="none"/>
        </w:rPr>
        <w:t>Estas diferencias también pueden ser vistas como una oportunidad para entender el mundo de maneras distintas, crecer como personas y mejorar la propia práctica profesional de los profesores. Como se mencionó por el participante 3 “...</w:t>
      </w:r>
      <w:r>
        <w:rPr>
          <w:rFonts w:ascii="Arial" w:eastAsia="Arial" w:hAnsi="Arial" w:cs="Arial"/>
          <w:i/>
          <w:iCs/>
          <w:kern w:val="0"/>
          <w:sz w:val="24"/>
          <w:szCs w:val="24"/>
          <w:lang w:val="es-ES" w:eastAsia="es-MX"/>
          <w14:ligatures w14:val="none"/>
        </w:rPr>
        <w:t xml:space="preserve">podemos traer a nuestra institución, a nuestro país también, a nuestra universidad, metodologías nuevas o interesantes, formas de dar la clase, formas de investigar, nuevas ópticas para poder aplicar aquí, nuevas estrategias que pudieran ser favorables para toda la comunidad.” </w:t>
      </w:r>
      <w:r>
        <w:rPr>
          <w:rFonts w:ascii="Arial" w:eastAsia="Arial" w:hAnsi="Arial" w:cs="Arial"/>
          <w:kern w:val="0"/>
          <w:sz w:val="24"/>
          <w:szCs w:val="24"/>
          <w:lang w:val="es-ES" w:eastAsia="es-MX"/>
          <w14:ligatures w14:val="none"/>
        </w:rPr>
        <w:t>El mismo participante mencionaba también que el tener profesores en las aulas hablando desde su experiencia internacional de primera mano también crea en los estudiantes una aspiración para el futuro. “C</w:t>
      </w:r>
      <w:r>
        <w:rPr>
          <w:rFonts w:ascii="Arial" w:eastAsia="Arial" w:hAnsi="Arial" w:cs="Arial"/>
          <w:i/>
          <w:iCs/>
          <w:kern w:val="0"/>
          <w:sz w:val="24"/>
          <w:szCs w:val="24"/>
          <w:lang w:val="es-ES" w:eastAsia="es-MX"/>
          <w14:ligatures w14:val="none"/>
        </w:rPr>
        <w:t xml:space="preserve">reo que es motivar. Yo cada que puedo en mis clases comento que hice una </w:t>
      </w:r>
      <w:r>
        <w:rPr>
          <w:rFonts w:ascii="Arial" w:eastAsia="Arial" w:hAnsi="Arial" w:cs="Arial"/>
          <w:i/>
          <w:iCs/>
          <w:kern w:val="0"/>
          <w:sz w:val="24"/>
          <w:szCs w:val="24"/>
          <w:lang w:val="es-ES" w:eastAsia="es-MX"/>
          <w14:ligatures w14:val="none"/>
        </w:rPr>
        <w:lastRenderedPageBreak/>
        <w:t>investigación a mis alumnos para que ellos también se entusiasmen, se motiven, puedan hacerlo. Amplía totalmente el panorama en todos los sentidos, académico, personal, profesional. Creo que enriquece bastante este tipo de experiencias.”</w:t>
      </w:r>
    </w:p>
    <w:p w14:paraId="678B2D3A" w14:textId="77777777" w:rsidR="0093626A" w:rsidRDefault="0093626A" w:rsidP="005915A7">
      <w:pPr>
        <w:spacing w:after="0" w:line="360" w:lineRule="auto"/>
        <w:jc w:val="both"/>
        <w:rPr>
          <w:rFonts w:ascii="Arial" w:eastAsia="Arial" w:hAnsi="Arial" w:cs="Arial"/>
          <w:i/>
          <w:iCs/>
          <w:kern w:val="0"/>
          <w:sz w:val="24"/>
          <w:szCs w:val="24"/>
          <w:lang w:eastAsia="es-MX"/>
          <w14:ligatures w14:val="none"/>
        </w:rPr>
      </w:pPr>
    </w:p>
    <w:p w14:paraId="0B7CF261" w14:textId="77777777" w:rsidR="0093626A" w:rsidRDefault="00000000" w:rsidP="005915A7">
      <w:pPr>
        <w:spacing w:after="0" w:line="360" w:lineRule="auto"/>
        <w:jc w:val="both"/>
        <w:rPr>
          <w:rFonts w:ascii="Arial" w:eastAsia="Arial" w:hAnsi="Arial" w:cs="Arial"/>
          <w:kern w:val="0"/>
          <w:sz w:val="24"/>
          <w:szCs w:val="24"/>
          <w:lang w:eastAsia="es-MX"/>
          <w14:ligatures w14:val="none"/>
        </w:rPr>
      </w:pPr>
      <w:r>
        <w:rPr>
          <w:rFonts w:ascii="Arial" w:eastAsia="Arial" w:hAnsi="Arial" w:cs="Arial"/>
          <w:kern w:val="0"/>
          <w:sz w:val="24"/>
          <w:szCs w:val="24"/>
          <w:lang w:eastAsia="es-MX"/>
          <w14:ligatures w14:val="none"/>
        </w:rPr>
        <w:t>CÓDIGO: DIFICULTADES</w:t>
      </w:r>
    </w:p>
    <w:p w14:paraId="54090600" w14:textId="77777777" w:rsidR="0093626A" w:rsidRDefault="00000000" w:rsidP="005915A7">
      <w:pPr>
        <w:spacing w:after="0" w:line="360" w:lineRule="auto"/>
        <w:jc w:val="both"/>
        <w:rPr>
          <w:rFonts w:ascii="Arial" w:eastAsia="Arial" w:hAnsi="Arial" w:cs="Arial"/>
          <w:kern w:val="0"/>
          <w:sz w:val="24"/>
          <w:szCs w:val="24"/>
          <w:lang w:eastAsia="es-MX"/>
          <w14:ligatures w14:val="none"/>
        </w:rPr>
      </w:pPr>
      <w:r>
        <w:rPr>
          <w:rFonts w:ascii="Arial" w:eastAsia="Arial" w:hAnsi="Arial" w:cs="Arial"/>
          <w:kern w:val="0"/>
          <w:sz w:val="24"/>
          <w:szCs w:val="24"/>
          <w:lang w:eastAsia="es-MX"/>
          <w14:ligatures w14:val="none"/>
        </w:rPr>
        <w:t>En este sentido, se destacó que una de las principales complicaciones fue el uso de un idioma distinto al español, lo que, aunado al proceso de integración cultural, implicó un desafío para los participantes. En el caso del participante 5, identificó la problemática de la comunicación diaria con los locales, puesto que “…</w:t>
      </w:r>
      <w:r>
        <w:rPr>
          <w:rFonts w:ascii="Arial" w:eastAsia="Arial" w:hAnsi="Arial" w:cs="Arial"/>
          <w:i/>
          <w:iCs/>
          <w:kern w:val="0"/>
          <w:sz w:val="24"/>
          <w:szCs w:val="24"/>
          <w:lang w:eastAsia="es-MX"/>
          <w14:ligatures w14:val="none"/>
        </w:rPr>
        <w:t>fuera de la universidad, en esa población específicamente, muy poca gente habla inglés.</w:t>
      </w:r>
      <w:r>
        <w:rPr>
          <w:rFonts w:ascii="Arial" w:eastAsia="Arial" w:hAnsi="Arial" w:cs="Arial"/>
          <w:kern w:val="0"/>
          <w:sz w:val="24"/>
          <w:szCs w:val="24"/>
          <w:lang w:eastAsia="es-MX"/>
          <w14:ligatures w14:val="none"/>
        </w:rPr>
        <w:t>” Incluso, en el caso de aquellos que realizaron una estancia internacional en un destino hispanohablante, el tema del uso del idioma también se consideró como una barrera considerable, ya que como mencionó el participante 3 “</w:t>
      </w:r>
      <w:r>
        <w:rPr>
          <w:rFonts w:ascii="Arial" w:eastAsia="Arial" w:hAnsi="Arial" w:cs="Arial"/>
          <w:i/>
          <w:iCs/>
          <w:kern w:val="0"/>
          <w:sz w:val="24"/>
          <w:szCs w:val="24"/>
          <w:lang w:eastAsia="es-MX"/>
          <w14:ligatures w14:val="none"/>
        </w:rPr>
        <w:t>…el choque cultural sí es bastante amplio, porque sí nos comunicábamos en español, pero el significado de las palabras o algunas acciones no son las mismas…</w:t>
      </w:r>
      <w:r>
        <w:rPr>
          <w:rFonts w:ascii="Arial" w:eastAsia="Arial" w:hAnsi="Arial" w:cs="Arial"/>
          <w:kern w:val="0"/>
          <w:sz w:val="24"/>
          <w:szCs w:val="24"/>
          <w:lang w:eastAsia="es-MX"/>
          <w14:ligatures w14:val="none"/>
        </w:rPr>
        <w:t xml:space="preserve">”. </w:t>
      </w:r>
    </w:p>
    <w:p w14:paraId="7938134D" w14:textId="77777777" w:rsidR="0093626A" w:rsidRDefault="0093626A" w:rsidP="005915A7">
      <w:pPr>
        <w:spacing w:after="0" w:line="360" w:lineRule="auto"/>
        <w:jc w:val="both"/>
        <w:rPr>
          <w:rFonts w:ascii="Arial" w:eastAsia="Arial" w:hAnsi="Arial" w:cs="Arial"/>
          <w:kern w:val="0"/>
          <w:sz w:val="24"/>
          <w:szCs w:val="24"/>
          <w:lang w:eastAsia="es-MX"/>
          <w14:ligatures w14:val="none"/>
        </w:rPr>
      </w:pPr>
    </w:p>
    <w:p w14:paraId="774960FD" w14:textId="77777777" w:rsidR="0093626A" w:rsidRDefault="00000000" w:rsidP="00634580">
      <w:pPr>
        <w:spacing w:after="0" w:line="360" w:lineRule="auto"/>
        <w:ind w:firstLine="708"/>
        <w:jc w:val="both"/>
        <w:rPr>
          <w:rFonts w:ascii="Arial" w:eastAsia="Arial" w:hAnsi="Arial" w:cs="Arial"/>
          <w:kern w:val="0"/>
          <w:sz w:val="24"/>
          <w:szCs w:val="24"/>
          <w:lang w:eastAsia="es-MX"/>
          <w14:ligatures w14:val="none"/>
        </w:rPr>
      </w:pPr>
      <w:r>
        <w:rPr>
          <w:rFonts w:ascii="Arial" w:eastAsia="Arial" w:hAnsi="Arial" w:cs="Arial"/>
          <w:kern w:val="0"/>
          <w:sz w:val="24"/>
          <w:szCs w:val="24"/>
          <w:lang w:eastAsia="es-MX"/>
          <w14:ligatures w14:val="none"/>
        </w:rPr>
        <w:t>Otra dificultad señalada por los participantes es la relacionada a la carga de trabajo en su institución de origen, la que se combina con las actividades realizadas en la universidad de destino. Incluso, se llega a señalar la “doble jornada” cuando hay muchas horas de diferencia entre ambos lugares. Así como el participante 4 indicó, “</w:t>
      </w:r>
      <w:r>
        <w:rPr>
          <w:rFonts w:ascii="Arial" w:eastAsia="Arial" w:hAnsi="Arial" w:cs="Arial"/>
          <w:i/>
          <w:iCs/>
          <w:kern w:val="0"/>
          <w:sz w:val="24"/>
          <w:szCs w:val="24"/>
          <w:lang w:eastAsia="es-MX"/>
          <w14:ligatures w14:val="none"/>
        </w:rPr>
        <w:t>…al docente que se envíe lo ideal sería liberarlo de las cargas o lo que tenga de exigencia aquí, porque en la estancia se les exige también al 100% entonces tienes a la persona a partida…”</w:t>
      </w:r>
      <w:r>
        <w:rPr>
          <w:rFonts w:ascii="Arial" w:eastAsia="Arial" w:hAnsi="Arial" w:cs="Arial"/>
          <w:kern w:val="0"/>
          <w:sz w:val="24"/>
          <w:szCs w:val="24"/>
          <w:lang w:eastAsia="es-MX"/>
          <w14:ligatures w14:val="none"/>
        </w:rPr>
        <w:t>. En este sentido, el apoyo institucional debe de ir más allá de las oficinas internacionales, permeando en el resto de la estructura universitaria y permitiendo que los profesores se comprometan en las actividades en la institución de destino, sin que tengan que ‘dividirse’ en dos jornadas laborales.</w:t>
      </w:r>
    </w:p>
    <w:p w14:paraId="551AB907" w14:textId="77777777" w:rsidR="0093626A" w:rsidRDefault="0093626A" w:rsidP="005915A7">
      <w:pPr>
        <w:spacing w:after="0" w:line="360" w:lineRule="auto"/>
        <w:jc w:val="both"/>
        <w:rPr>
          <w:rFonts w:ascii="Arial" w:eastAsia="Arial" w:hAnsi="Arial" w:cs="Arial"/>
          <w:kern w:val="0"/>
          <w:sz w:val="24"/>
          <w:szCs w:val="24"/>
          <w:lang w:eastAsia="es-MX"/>
          <w14:ligatures w14:val="none"/>
        </w:rPr>
      </w:pPr>
    </w:p>
    <w:p w14:paraId="7D3929C4" w14:textId="77777777" w:rsidR="0093626A" w:rsidRDefault="00000000" w:rsidP="00634580">
      <w:pPr>
        <w:spacing w:after="0" w:line="360" w:lineRule="auto"/>
        <w:ind w:firstLine="708"/>
        <w:jc w:val="both"/>
        <w:rPr>
          <w:rFonts w:ascii="Arial" w:eastAsia="Arial" w:hAnsi="Arial" w:cs="Arial"/>
          <w:kern w:val="0"/>
          <w:sz w:val="24"/>
          <w:szCs w:val="24"/>
          <w:lang w:eastAsia="es-MX"/>
          <w14:ligatures w14:val="none"/>
        </w:rPr>
      </w:pPr>
      <w:r>
        <w:rPr>
          <w:rFonts w:ascii="Arial" w:eastAsia="Arial" w:hAnsi="Arial" w:cs="Arial"/>
          <w:kern w:val="0"/>
          <w:sz w:val="24"/>
          <w:szCs w:val="24"/>
          <w:lang w:eastAsia="es-MX"/>
          <w14:ligatures w14:val="none"/>
        </w:rPr>
        <w:t xml:space="preserve">En la universidad de origen también hay posibilidades de mejora con el objetivo de impulsar la movilidad de profesores. Se señaló como principales áreas de oportunidad el gestionar procesos administrativos más ágiles y sencillos, así como una estrategia de difusión más eficiente para llegar al mayor número posible </w:t>
      </w:r>
      <w:r>
        <w:rPr>
          <w:rFonts w:ascii="Arial" w:eastAsia="Arial" w:hAnsi="Arial" w:cs="Arial"/>
          <w:kern w:val="0"/>
          <w:sz w:val="24"/>
          <w:szCs w:val="24"/>
          <w:lang w:eastAsia="es-MX"/>
          <w14:ligatures w14:val="none"/>
        </w:rPr>
        <w:lastRenderedPageBreak/>
        <w:t>de interesados. El acercamiento directo con posibles postulantes a la movilidad se identificó como una estrategia adecuada, como mencionó el participante 5 “p</w:t>
      </w:r>
      <w:r>
        <w:rPr>
          <w:rFonts w:ascii="Arial" w:eastAsia="Arial" w:hAnsi="Arial" w:cs="Arial"/>
          <w:i/>
          <w:iCs/>
          <w:kern w:val="0"/>
          <w:sz w:val="24"/>
          <w:szCs w:val="24"/>
          <w:lang w:eastAsia="es-MX"/>
          <w14:ligatures w14:val="none"/>
        </w:rPr>
        <w:t>láticas para los profesores, para convencerlos a que apliquen a la convocatoria o vayan de intercambio, porque a lo mejor algunos piensan en las barreras de lo académico, de los idiomas y les da miedo el no ir cuando realmente pueden tener experiencia muy enriquecedora</w:t>
      </w:r>
      <w:r>
        <w:rPr>
          <w:rFonts w:ascii="Arial" w:eastAsia="Arial" w:hAnsi="Arial" w:cs="Arial"/>
          <w:kern w:val="0"/>
          <w:sz w:val="24"/>
          <w:szCs w:val="24"/>
          <w:lang w:eastAsia="es-MX"/>
          <w14:ligatures w14:val="none"/>
        </w:rPr>
        <w:t>.”</w:t>
      </w:r>
    </w:p>
    <w:p w14:paraId="5DCFD1FA" w14:textId="77777777" w:rsidR="0093626A" w:rsidRDefault="0093626A" w:rsidP="005915A7">
      <w:pPr>
        <w:spacing w:after="0" w:line="360" w:lineRule="auto"/>
        <w:jc w:val="both"/>
        <w:rPr>
          <w:rFonts w:ascii="Arial" w:eastAsia="Arial" w:hAnsi="Arial" w:cs="Arial"/>
          <w:kern w:val="0"/>
          <w:sz w:val="24"/>
          <w:szCs w:val="24"/>
          <w:lang w:eastAsia="es-MX"/>
          <w14:ligatures w14:val="none"/>
        </w:rPr>
      </w:pPr>
    </w:p>
    <w:p w14:paraId="08B73B31" w14:textId="77777777" w:rsidR="0093626A" w:rsidRDefault="00000000" w:rsidP="005915A7">
      <w:pPr>
        <w:spacing w:after="0" w:line="360" w:lineRule="auto"/>
        <w:jc w:val="both"/>
        <w:rPr>
          <w:rFonts w:ascii="Arial" w:eastAsia="Arial" w:hAnsi="Arial" w:cs="Arial"/>
          <w:kern w:val="0"/>
          <w:sz w:val="24"/>
          <w:szCs w:val="24"/>
          <w:lang w:eastAsia="es-MX"/>
          <w14:ligatures w14:val="none"/>
        </w:rPr>
      </w:pPr>
      <w:r>
        <w:rPr>
          <w:rFonts w:ascii="Arial" w:eastAsia="Arial" w:hAnsi="Arial" w:cs="Arial"/>
          <w:kern w:val="0"/>
          <w:sz w:val="24"/>
          <w:szCs w:val="24"/>
          <w:lang w:eastAsia="es-MX"/>
          <w14:ligatures w14:val="none"/>
        </w:rPr>
        <w:t>CÓDIGO: INTERCULTURALIDAD</w:t>
      </w:r>
    </w:p>
    <w:p w14:paraId="0D3D152D" w14:textId="77777777" w:rsidR="0093626A" w:rsidRDefault="00000000" w:rsidP="005915A7">
      <w:pPr>
        <w:spacing w:after="0" w:line="360" w:lineRule="auto"/>
        <w:jc w:val="both"/>
        <w:rPr>
          <w:rFonts w:ascii="Arial" w:eastAsia="Arial" w:hAnsi="Arial" w:cs="Arial"/>
          <w:kern w:val="0"/>
          <w:sz w:val="24"/>
          <w:szCs w:val="24"/>
          <w:lang w:val="es-ES" w:eastAsia="es-MX"/>
          <w14:ligatures w14:val="none"/>
        </w:rPr>
      </w:pPr>
      <w:r>
        <w:rPr>
          <w:rFonts w:ascii="Arial" w:eastAsia="Arial" w:hAnsi="Arial" w:cs="Arial"/>
          <w:kern w:val="0"/>
          <w:sz w:val="24"/>
          <w:szCs w:val="24"/>
          <w:lang w:val="es-ES" w:eastAsia="es-MX"/>
          <w14:ligatures w14:val="none"/>
        </w:rPr>
        <w:t xml:space="preserve">Relacionado al desempeño que tuvieron en sus labores docentes en la universidad de destino, se menciona la diferencia cultural dentro del aula. Como identificó el participante 2, las expectativas del rol docente son otras, puesto que hay una distancia muy marcada entre estudiantes y profesores, lo que complica la interacción en dinámicas más horizontales basadas en el diálogo e interacción en clase. </w:t>
      </w:r>
      <w:r>
        <w:rPr>
          <w:rFonts w:ascii="Arial" w:eastAsia="Arial" w:hAnsi="Arial" w:cs="Arial"/>
          <w:i/>
          <w:iCs/>
          <w:kern w:val="0"/>
          <w:sz w:val="24"/>
          <w:szCs w:val="24"/>
          <w:lang w:val="es-ES" w:eastAsia="es-MX"/>
          <w14:ligatures w14:val="none"/>
        </w:rPr>
        <w:t>“Aparte también del idioma, creo que la forma de enseñanza es muy diferente y allá en Francia, entre que algunos hablaban puro francés y otros o hablaban muy poquito inglés. De repente querías hacerles preguntas y como que no era tanto el que contestaran, sino más bien estaban esperando que tú siguieras exponiendo. Entonces tuve que modificar un poquito esa parte...”</w:t>
      </w:r>
    </w:p>
    <w:p w14:paraId="7B622135" w14:textId="77777777" w:rsidR="0093626A" w:rsidRDefault="0093626A" w:rsidP="005915A7">
      <w:pPr>
        <w:spacing w:after="0" w:line="360" w:lineRule="auto"/>
        <w:jc w:val="both"/>
        <w:rPr>
          <w:rFonts w:ascii="Arial" w:eastAsia="Arial" w:hAnsi="Arial" w:cs="Arial"/>
          <w:i/>
          <w:iCs/>
          <w:kern w:val="0"/>
          <w:sz w:val="24"/>
          <w:szCs w:val="24"/>
          <w:lang w:eastAsia="es-MX"/>
          <w14:ligatures w14:val="none"/>
        </w:rPr>
      </w:pPr>
    </w:p>
    <w:p w14:paraId="7EA0E17D" w14:textId="77777777" w:rsidR="0093626A" w:rsidRDefault="00000000" w:rsidP="00634580">
      <w:pPr>
        <w:spacing w:after="0" w:line="360" w:lineRule="auto"/>
        <w:ind w:firstLine="708"/>
        <w:jc w:val="both"/>
        <w:rPr>
          <w:rFonts w:ascii="Arial" w:eastAsia="Arial" w:hAnsi="Arial" w:cs="Arial"/>
          <w:kern w:val="0"/>
          <w:sz w:val="24"/>
          <w:szCs w:val="24"/>
          <w:lang w:val="es-ES" w:eastAsia="es-MX"/>
          <w14:ligatures w14:val="none"/>
        </w:rPr>
      </w:pPr>
      <w:r>
        <w:rPr>
          <w:rFonts w:ascii="Arial" w:eastAsia="Arial" w:hAnsi="Arial" w:cs="Arial"/>
          <w:kern w:val="0"/>
          <w:sz w:val="24"/>
          <w:szCs w:val="24"/>
          <w:lang w:val="es-ES" w:eastAsia="es-MX"/>
          <w14:ligatures w14:val="none"/>
        </w:rPr>
        <w:t>Además de la dinámica del aula, también el entorno laboral implicó un reto de adaptación, puesto que las interacciones entre colegas también se abordan de manera distinta en los países que los hospedaron. El participante 3, señaló que “.</w:t>
      </w:r>
      <w:r>
        <w:rPr>
          <w:rFonts w:ascii="Arial" w:eastAsia="Arial" w:hAnsi="Arial" w:cs="Arial"/>
          <w:i/>
          <w:iCs/>
          <w:kern w:val="0"/>
          <w:sz w:val="24"/>
          <w:szCs w:val="24"/>
          <w:lang w:val="es-ES" w:eastAsia="es-MX"/>
          <w14:ligatures w14:val="none"/>
        </w:rPr>
        <w:t>..hubo un momento en el que estábamos dialogando sobre el paper que estábamos haciendo que estábamos haciendo y mi colega, mi par en ese momento. elevó bastante la voz. Si ella estuviera aquí en México, estaría gritándome, pero los compañeros que estaban alrededor no hicieron nada. Una como volteó y ya. Yo sí quise llorar, honestamente, porque sentía el grito muy rudo, muy fuerte. Y ya observé que era algo normal, pero me costó trabajo identificar que no era algo contra mí, sino que esa era la dinámica.</w:t>
      </w:r>
      <w:r>
        <w:rPr>
          <w:rFonts w:ascii="Arial" w:eastAsia="Arial" w:hAnsi="Arial" w:cs="Arial"/>
          <w:kern w:val="0"/>
          <w:sz w:val="24"/>
          <w:szCs w:val="24"/>
          <w:lang w:val="es-ES" w:eastAsia="es-MX"/>
          <w14:ligatures w14:val="none"/>
        </w:rPr>
        <w:t>”</w:t>
      </w:r>
    </w:p>
    <w:p w14:paraId="7CF786B2" w14:textId="77777777" w:rsidR="0093626A" w:rsidRDefault="0093626A" w:rsidP="005915A7">
      <w:pPr>
        <w:spacing w:after="0" w:line="360" w:lineRule="auto"/>
        <w:jc w:val="both"/>
        <w:rPr>
          <w:rFonts w:ascii="Arial" w:eastAsia="Arial" w:hAnsi="Arial" w:cs="Arial"/>
          <w:kern w:val="0"/>
          <w:sz w:val="24"/>
          <w:szCs w:val="24"/>
          <w:lang w:eastAsia="es-MX"/>
          <w14:ligatures w14:val="none"/>
        </w:rPr>
      </w:pPr>
    </w:p>
    <w:p w14:paraId="3EF75878" w14:textId="77777777" w:rsidR="0093626A" w:rsidRDefault="00000000" w:rsidP="00634580">
      <w:pPr>
        <w:spacing w:after="0" w:line="360" w:lineRule="auto"/>
        <w:ind w:firstLine="708"/>
        <w:jc w:val="both"/>
        <w:rPr>
          <w:rFonts w:ascii="Arial" w:eastAsia="Arial" w:hAnsi="Arial" w:cs="Arial"/>
          <w:kern w:val="0"/>
          <w:sz w:val="24"/>
          <w:szCs w:val="24"/>
          <w:lang w:eastAsia="es-MX"/>
          <w14:ligatures w14:val="none"/>
        </w:rPr>
      </w:pPr>
      <w:r>
        <w:rPr>
          <w:rFonts w:ascii="Arial" w:eastAsia="Arial" w:hAnsi="Arial" w:cs="Arial"/>
          <w:kern w:val="0"/>
          <w:sz w:val="24"/>
          <w:szCs w:val="24"/>
          <w:lang w:eastAsia="es-MX"/>
          <w14:ligatures w14:val="none"/>
        </w:rPr>
        <w:lastRenderedPageBreak/>
        <w:t>En lo relacionado con la logística en el campus, el participante 1, mencionó que “e</w:t>
      </w:r>
      <w:r>
        <w:rPr>
          <w:rFonts w:ascii="Arial" w:eastAsia="Arial" w:hAnsi="Arial" w:cs="Arial"/>
          <w:i/>
          <w:iCs/>
          <w:kern w:val="0"/>
          <w:sz w:val="24"/>
          <w:szCs w:val="24"/>
          <w:lang w:eastAsia="es-MX"/>
          <w14:ligatures w14:val="none"/>
        </w:rPr>
        <w:t>n temas de movilidad, te dan más acceso a todas las áreas en la universidad. Todo, todo es abierto. No necesitas sacar ningún permiso, aunque lo traían, no era necesario nada, simplemente que fueras a hacer tus cosas. Porque tienen mucha libertad para que tú vayas a investigar</w:t>
      </w:r>
      <w:r>
        <w:rPr>
          <w:rFonts w:ascii="Arial" w:eastAsia="Arial" w:hAnsi="Arial" w:cs="Arial"/>
          <w:kern w:val="0"/>
          <w:sz w:val="24"/>
          <w:szCs w:val="24"/>
          <w:lang w:eastAsia="es-MX"/>
          <w14:ligatures w14:val="none"/>
        </w:rPr>
        <w:t>”. Esto contrasta con la experiencia local, donde el acceso a los campus suele estar restringido, particularmente en las instituciones privadas, y es necesario contar con permisos para realizar actividades académicas y de investigación como invitado internacional.</w:t>
      </w:r>
    </w:p>
    <w:p w14:paraId="3209CC89" w14:textId="77777777" w:rsidR="0093626A" w:rsidRDefault="0093626A" w:rsidP="005915A7">
      <w:pPr>
        <w:spacing w:after="0" w:line="360" w:lineRule="auto"/>
        <w:jc w:val="both"/>
        <w:rPr>
          <w:rFonts w:ascii="Arial" w:eastAsia="Arial" w:hAnsi="Arial" w:cs="Arial"/>
          <w:kern w:val="0"/>
          <w:sz w:val="24"/>
          <w:szCs w:val="24"/>
          <w:lang w:eastAsia="es-MX"/>
          <w14:ligatures w14:val="none"/>
        </w:rPr>
      </w:pPr>
    </w:p>
    <w:p w14:paraId="3CF86E8C" w14:textId="77777777" w:rsidR="0093626A" w:rsidRDefault="00000000" w:rsidP="00634580">
      <w:pPr>
        <w:spacing w:after="0" w:line="360" w:lineRule="auto"/>
        <w:ind w:firstLine="708"/>
        <w:jc w:val="both"/>
        <w:rPr>
          <w:rFonts w:ascii="Arial" w:eastAsia="Arial" w:hAnsi="Arial" w:cs="Arial"/>
          <w:kern w:val="0"/>
          <w:sz w:val="24"/>
          <w:szCs w:val="24"/>
          <w:lang w:val="es-ES" w:eastAsia="es-MX"/>
          <w14:ligatures w14:val="none"/>
        </w:rPr>
      </w:pPr>
      <w:r>
        <w:rPr>
          <w:rFonts w:ascii="Arial" w:eastAsia="Arial" w:hAnsi="Arial" w:cs="Arial"/>
          <w:kern w:val="0"/>
          <w:sz w:val="24"/>
          <w:szCs w:val="24"/>
          <w:lang w:val="es-ES" w:eastAsia="es-MX"/>
          <w14:ligatures w14:val="none"/>
        </w:rPr>
        <w:t>En cuanto al proceso de adaptación al país de destino, los participantes señalaron que en las instituciones de destino no tuvieron un acompañamiento tan cercano u hospitalario, lo que en un principio mermó su integración a la comunidad huésped. Como indicó el participante 4 “</w:t>
      </w:r>
      <w:r>
        <w:rPr>
          <w:rFonts w:ascii="Arial" w:eastAsia="Arial" w:hAnsi="Arial" w:cs="Arial"/>
          <w:i/>
          <w:iCs/>
          <w:kern w:val="0"/>
          <w:sz w:val="24"/>
          <w:szCs w:val="24"/>
          <w:lang w:val="es-ES" w:eastAsia="es-MX"/>
          <w14:ligatures w14:val="none"/>
        </w:rPr>
        <w:t>…te encuentras como a la deriva, entre hacia dónde voy si no estás con alguien muy cercano, terminas quedando ausente. Entonces si es un poquito ese conflicto de cómo abordar o enfrentar algo que no conoces</w:t>
      </w:r>
      <w:r>
        <w:rPr>
          <w:rFonts w:ascii="Arial" w:eastAsia="Arial" w:hAnsi="Arial" w:cs="Arial"/>
          <w:kern w:val="0"/>
          <w:sz w:val="24"/>
          <w:szCs w:val="24"/>
          <w:lang w:val="es-ES" w:eastAsia="es-MX"/>
          <w14:ligatures w14:val="none"/>
        </w:rPr>
        <w:t xml:space="preserve">”. Paralelo a esta situación, se destacó también la importancia del seguimiento y consejería a los profesores que van a realizar movilidad, tanto de las oficinas internacionales como de pares que hayan tenido una experiencia similar. Incluso, se propuso por los participantes 5 y 3 que se cree la figura de ‘embajadores’, profesores que ya han estado en el extranjero y que quieran brindar orientación, recomendaciones y asistencia a quienes por primera vez van a participar en una movilidad. </w:t>
      </w:r>
    </w:p>
    <w:p w14:paraId="21B5D557" w14:textId="77777777" w:rsidR="0093626A" w:rsidRDefault="0093626A" w:rsidP="005915A7">
      <w:pPr>
        <w:spacing w:after="0" w:line="360" w:lineRule="auto"/>
        <w:jc w:val="both"/>
        <w:rPr>
          <w:rFonts w:ascii="Arial" w:eastAsia="Arial" w:hAnsi="Arial" w:cs="Arial"/>
          <w:kern w:val="0"/>
          <w:sz w:val="24"/>
          <w:szCs w:val="24"/>
          <w:lang w:eastAsia="es-MX"/>
          <w14:ligatures w14:val="none"/>
        </w:rPr>
      </w:pPr>
    </w:p>
    <w:p w14:paraId="57C63455" w14:textId="77777777" w:rsidR="0093626A" w:rsidRDefault="00000000" w:rsidP="00634580">
      <w:pPr>
        <w:spacing w:after="0" w:line="360" w:lineRule="auto"/>
        <w:ind w:firstLine="708"/>
        <w:jc w:val="both"/>
        <w:rPr>
          <w:rFonts w:ascii="Arial" w:eastAsia="Arial" w:hAnsi="Arial" w:cs="Arial"/>
          <w:kern w:val="0"/>
          <w:sz w:val="24"/>
          <w:szCs w:val="24"/>
          <w:lang w:eastAsia="es-MX"/>
          <w14:ligatures w14:val="none"/>
        </w:rPr>
      </w:pPr>
      <w:r>
        <w:rPr>
          <w:rFonts w:ascii="Arial" w:eastAsia="Arial" w:hAnsi="Arial" w:cs="Arial"/>
          <w:kern w:val="0"/>
          <w:sz w:val="24"/>
          <w:szCs w:val="24"/>
          <w:lang w:eastAsia="es-MX"/>
          <w14:ligatures w14:val="none"/>
        </w:rPr>
        <w:t>Igualmente, se identificó que más allá del proceso de interacción con la cultura extranjera y el conocimiento de un contexto extranjero, las estancias internacionales también empujan un proceso de reflexión sobre el propio país de origen. Como lo comentó el participante 5, “</w:t>
      </w:r>
      <w:r>
        <w:rPr>
          <w:rFonts w:ascii="Arial" w:eastAsia="Arial" w:hAnsi="Arial" w:cs="Arial"/>
          <w:i/>
          <w:iCs/>
          <w:kern w:val="0"/>
          <w:sz w:val="24"/>
          <w:szCs w:val="24"/>
          <w:lang w:eastAsia="es-MX"/>
          <w14:ligatures w14:val="none"/>
        </w:rPr>
        <w:t>Yo creo que es una oportunidad de aprender, de crecer como persona. Yo creo que todo ser humano debe de tener una estancia en algún otro país para tener otra perspectiva y ver tu propio país desde ahí.</w:t>
      </w:r>
      <w:r>
        <w:rPr>
          <w:rFonts w:ascii="Arial" w:eastAsia="Arial" w:hAnsi="Arial" w:cs="Arial"/>
          <w:kern w:val="0"/>
          <w:sz w:val="24"/>
          <w:szCs w:val="24"/>
          <w:lang w:eastAsia="es-MX"/>
          <w14:ligatures w14:val="none"/>
        </w:rPr>
        <w:t>” Aunado a ello, el participante 4, compartió que para él fue muy valioso “.</w:t>
      </w:r>
      <w:r>
        <w:rPr>
          <w:rFonts w:ascii="Arial" w:eastAsia="Arial" w:hAnsi="Arial" w:cs="Arial"/>
          <w:i/>
          <w:iCs/>
          <w:kern w:val="0"/>
          <w:sz w:val="24"/>
          <w:szCs w:val="24"/>
          <w:lang w:eastAsia="es-MX"/>
          <w14:ligatures w14:val="none"/>
        </w:rPr>
        <w:t xml:space="preserve">..ver </w:t>
      </w:r>
      <w:r>
        <w:rPr>
          <w:rFonts w:ascii="Arial" w:eastAsia="Arial" w:hAnsi="Arial" w:cs="Arial"/>
          <w:i/>
          <w:iCs/>
          <w:kern w:val="0"/>
          <w:sz w:val="24"/>
          <w:szCs w:val="24"/>
          <w:lang w:eastAsia="es-MX"/>
          <w14:ligatures w14:val="none"/>
        </w:rPr>
        <w:lastRenderedPageBreak/>
        <w:t>cómo desde otros enfoques ven el mismo enfoque de estudio entonces, fue muy enriquecedor entender eso y comparar cómo se ve desde este punto de vista.</w:t>
      </w:r>
      <w:r>
        <w:rPr>
          <w:rFonts w:ascii="Arial" w:eastAsia="Arial" w:hAnsi="Arial" w:cs="Arial"/>
          <w:kern w:val="0"/>
          <w:sz w:val="24"/>
          <w:szCs w:val="24"/>
          <w:lang w:eastAsia="es-MX"/>
          <w14:ligatures w14:val="none"/>
        </w:rPr>
        <w:t>”</w:t>
      </w:r>
    </w:p>
    <w:p w14:paraId="69D296E4" w14:textId="77777777" w:rsidR="0093626A" w:rsidRDefault="0093626A" w:rsidP="005915A7">
      <w:pPr>
        <w:spacing w:after="0" w:line="360" w:lineRule="auto"/>
        <w:jc w:val="both"/>
        <w:rPr>
          <w:rFonts w:ascii="Arial" w:eastAsia="Arial" w:hAnsi="Arial" w:cs="Arial"/>
          <w:kern w:val="0"/>
          <w:sz w:val="24"/>
          <w:szCs w:val="24"/>
          <w:lang w:eastAsia="es-MX"/>
          <w14:ligatures w14:val="none"/>
        </w:rPr>
      </w:pPr>
    </w:p>
    <w:p w14:paraId="4EF385E3" w14:textId="77777777" w:rsidR="0093626A" w:rsidRDefault="00000000" w:rsidP="005915A7">
      <w:pPr>
        <w:spacing w:after="0" w:line="360" w:lineRule="auto"/>
        <w:jc w:val="both"/>
        <w:rPr>
          <w:rFonts w:ascii="Arial" w:eastAsia="Arial" w:hAnsi="Arial" w:cs="Arial"/>
          <w:kern w:val="0"/>
          <w:sz w:val="24"/>
          <w:szCs w:val="24"/>
          <w:lang w:eastAsia="es-MX"/>
          <w14:ligatures w14:val="none"/>
        </w:rPr>
      </w:pPr>
      <w:r>
        <w:rPr>
          <w:rFonts w:ascii="Arial" w:eastAsia="Arial" w:hAnsi="Arial" w:cs="Arial"/>
          <w:kern w:val="0"/>
          <w:sz w:val="24"/>
          <w:szCs w:val="24"/>
          <w:lang w:eastAsia="es-MX"/>
          <w14:ligatures w14:val="none"/>
        </w:rPr>
        <w:t>CÓDIGO NO ENCONTRADO: GLOBALIZACIÓN</w:t>
      </w:r>
    </w:p>
    <w:p w14:paraId="6F64463B" w14:textId="77777777" w:rsidR="0093626A" w:rsidRDefault="00000000" w:rsidP="005915A7">
      <w:pPr>
        <w:spacing w:after="0" w:line="360" w:lineRule="auto"/>
        <w:jc w:val="both"/>
        <w:rPr>
          <w:rFonts w:ascii="Arial" w:eastAsia="Arial" w:hAnsi="Arial" w:cs="Arial"/>
          <w:kern w:val="0"/>
          <w:sz w:val="24"/>
          <w:szCs w:val="24"/>
          <w:lang w:val="es-ES" w:eastAsia="es-MX"/>
          <w14:ligatures w14:val="none"/>
        </w:rPr>
      </w:pPr>
      <w:r>
        <w:rPr>
          <w:rFonts w:ascii="Arial" w:eastAsia="Arial" w:hAnsi="Arial" w:cs="Arial"/>
          <w:kern w:val="0"/>
          <w:sz w:val="24"/>
          <w:szCs w:val="24"/>
          <w:lang w:val="es-ES" w:eastAsia="es-MX"/>
          <w14:ligatures w14:val="none"/>
        </w:rPr>
        <w:t xml:space="preserve">A pesar de que una de las preguntas del grupo focal tuvo que ver específicamente con el efecto de la movilidad en la globalización de la educación y algunos de los participantes mencionaron el término, el software ATLAS ti con IA no detectó este código ni llevó a cabo ningún análisis relacionado con esta idea. </w:t>
      </w:r>
    </w:p>
    <w:p w14:paraId="74E72D6E" w14:textId="77777777" w:rsidR="0093626A" w:rsidRDefault="0093626A" w:rsidP="005915A7">
      <w:pPr>
        <w:spacing w:after="0" w:line="360" w:lineRule="auto"/>
        <w:jc w:val="both"/>
        <w:rPr>
          <w:rFonts w:ascii="Arial" w:eastAsia="Arial" w:hAnsi="Arial" w:cs="Arial"/>
          <w:kern w:val="0"/>
          <w:sz w:val="24"/>
          <w:szCs w:val="24"/>
          <w:lang w:eastAsia="es-MX"/>
          <w14:ligatures w14:val="none"/>
        </w:rPr>
      </w:pPr>
    </w:p>
    <w:p w14:paraId="63C6D9A8" w14:textId="77777777" w:rsidR="0093626A" w:rsidRDefault="00000000" w:rsidP="005915A7">
      <w:pPr>
        <w:spacing w:after="0" w:line="360" w:lineRule="auto"/>
        <w:jc w:val="both"/>
        <w:rPr>
          <w:rFonts w:ascii="Arial" w:eastAsia="Arial" w:hAnsi="Arial" w:cs="Arial"/>
          <w:kern w:val="0"/>
          <w:sz w:val="24"/>
          <w:szCs w:val="24"/>
          <w:lang w:eastAsia="es-MX"/>
          <w14:ligatures w14:val="none"/>
        </w:rPr>
      </w:pPr>
      <w:r>
        <w:rPr>
          <w:rFonts w:ascii="Arial" w:eastAsia="Arial" w:hAnsi="Arial" w:cs="Arial"/>
          <w:kern w:val="0"/>
          <w:sz w:val="24"/>
          <w:szCs w:val="24"/>
          <w:lang w:eastAsia="es-MX"/>
          <w14:ligatures w14:val="none"/>
        </w:rPr>
        <w:t>B) Hallazgos códigos psicoeducativos</w:t>
      </w:r>
    </w:p>
    <w:p w14:paraId="5E98F63E" w14:textId="77777777" w:rsidR="0093626A" w:rsidRDefault="00000000" w:rsidP="005915A7">
      <w:pPr>
        <w:spacing w:line="360" w:lineRule="auto"/>
        <w:jc w:val="both"/>
        <w:rPr>
          <w:rFonts w:ascii="Arial" w:eastAsia="Arial" w:hAnsi="Arial" w:cs="Arial"/>
          <w:kern w:val="0"/>
          <w:sz w:val="24"/>
          <w:szCs w:val="24"/>
          <w:lang w:val="es-ES"/>
          <w14:ligatures w14:val="none"/>
        </w:rPr>
      </w:pPr>
      <w:r>
        <w:rPr>
          <w:rFonts w:ascii="Arial" w:eastAsia="Arial" w:hAnsi="Arial" w:cs="Arial"/>
          <w:kern w:val="0"/>
          <w:sz w:val="24"/>
          <w:szCs w:val="24"/>
          <w:lang w:val="es-ES"/>
          <w14:ligatures w14:val="none"/>
        </w:rPr>
        <w:t>CÓDIGO: CULTURA</w:t>
      </w:r>
    </w:p>
    <w:p w14:paraId="7D5F6B79" w14:textId="0AB48D47" w:rsidR="0093626A" w:rsidRDefault="00000000" w:rsidP="005915A7">
      <w:pPr>
        <w:spacing w:line="360" w:lineRule="auto"/>
        <w:jc w:val="both"/>
        <w:rPr>
          <w:rFonts w:ascii="Arial" w:eastAsia="Arial" w:hAnsi="Arial" w:cs="Arial"/>
          <w:kern w:val="0"/>
          <w:sz w:val="24"/>
          <w:szCs w:val="24"/>
          <w:lang w:val="es-ES"/>
          <w14:ligatures w14:val="none"/>
        </w:rPr>
      </w:pPr>
      <w:r>
        <w:rPr>
          <w:rFonts w:ascii="Arial" w:eastAsia="Arial" w:hAnsi="Arial" w:cs="Arial"/>
          <w:kern w:val="0"/>
          <w:sz w:val="24"/>
          <w:szCs w:val="24"/>
          <w14:ligatures w14:val="none"/>
        </w:rPr>
        <w:t>E</w:t>
      </w:r>
      <w:r>
        <w:rPr>
          <w:rFonts w:ascii="Arial" w:eastAsia="Arial" w:hAnsi="Arial" w:cs="Arial"/>
          <w:kern w:val="0"/>
          <w:sz w:val="24"/>
          <w:szCs w:val="24"/>
          <w:lang w:val="es-ES"/>
          <w14:ligatures w14:val="none"/>
        </w:rPr>
        <w:t>n resumen, el idioma fue solo una parte de los desafíos de vivir y estudiar en otro país: “</w:t>
      </w:r>
      <w:r>
        <w:rPr>
          <w:rFonts w:ascii="Arial" w:eastAsia="Arial" w:hAnsi="Arial" w:cs="Arial"/>
          <w:i/>
          <w:iCs/>
          <w:kern w:val="0"/>
          <w:sz w:val="24"/>
          <w:szCs w:val="24"/>
          <w:lang w:val="es-ES"/>
          <w14:ligatures w14:val="none"/>
        </w:rPr>
        <w:t>Creo que una parte es el idioma…. a mí me tocó dar la clase en inglés que se me facilitó bastante pero fuera de la universidad en esa población específicamente muy poca gente habla inglés entonces este sí necesita saber lo básico de alemán y yo me imagino que en la mayoría en la mayor parte de Europa…</w:t>
      </w:r>
      <w:r>
        <w:rPr>
          <w:rFonts w:ascii="Arial" w:eastAsia="Arial" w:hAnsi="Arial" w:cs="Arial"/>
          <w:kern w:val="0"/>
          <w:sz w:val="24"/>
          <w:szCs w:val="24"/>
          <w:lang w:val="es-ES"/>
          <w14:ligatures w14:val="none"/>
        </w:rPr>
        <w:t xml:space="preserve">” (Participante 5). </w:t>
      </w:r>
    </w:p>
    <w:p w14:paraId="50AB0654" w14:textId="4B9CA65F" w:rsidR="0093626A" w:rsidRDefault="00000000" w:rsidP="00634580">
      <w:pPr>
        <w:spacing w:line="360" w:lineRule="auto"/>
        <w:ind w:firstLine="708"/>
        <w:jc w:val="both"/>
        <w:rPr>
          <w:rFonts w:ascii="Arial" w:eastAsia="Arial" w:hAnsi="Arial" w:cs="Arial"/>
          <w:i/>
          <w:iCs/>
          <w:kern w:val="0"/>
          <w:sz w:val="24"/>
          <w:szCs w:val="24"/>
          <w:lang w:val="es-ES"/>
          <w14:ligatures w14:val="none"/>
        </w:rPr>
      </w:pPr>
      <w:r>
        <w:rPr>
          <w:rFonts w:ascii="Arial" w:eastAsia="Arial" w:hAnsi="Arial" w:cs="Arial"/>
          <w:kern w:val="0"/>
          <w:sz w:val="24"/>
          <w:szCs w:val="24"/>
          <w:lang w:val="es-ES"/>
          <w14:ligatures w14:val="none"/>
        </w:rPr>
        <w:t>Sin embargo, esta experiencia también brinda oportunidades de crecimiento personal, aprender de otras culturas, ampliar la perspectiva sobre el propio país y descubrir las formas diferentes de trabajar y de relacionarse entre profesionales. “...</w:t>
      </w:r>
      <w:r>
        <w:rPr>
          <w:rFonts w:ascii="Arial" w:eastAsia="Arial" w:hAnsi="Arial" w:cs="Arial"/>
          <w:i/>
          <w:iCs/>
          <w:kern w:val="0"/>
          <w:sz w:val="24"/>
          <w:szCs w:val="24"/>
          <w:lang w:val="es-ES"/>
          <w14:ligatures w14:val="none"/>
        </w:rPr>
        <w:t xml:space="preserve">Cuando el idioma no es una barrera, de cualquier manera, es necesario adaptarte a un ritmo de vida que ellos tienen ya de ese lado tú llegas como un </w:t>
      </w:r>
      <w:r w:rsidR="00456D5C">
        <w:rPr>
          <w:rFonts w:ascii="Arial" w:eastAsia="Arial" w:hAnsi="Arial" w:cs="Arial"/>
          <w:i/>
          <w:iCs/>
          <w:kern w:val="0"/>
          <w:sz w:val="24"/>
          <w:szCs w:val="24"/>
          <w:lang w:val="es-ES"/>
          <w14:ligatures w14:val="none"/>
        </w:rPr>
        <w:t>extranjero” …</w:t>
      </w:r>
      <w:r>
        <w:rPr>
          <w:rFonts w:ascii="Arial" w:eastAsia="Arial" w:hAnsi="Arial" w:cs="Arial"/>
          <w:i/>
          <w:iCs/>
          <w:kern w:val="0"/>
          <w:sz w:val="24"/>
          <w:szCs w:val="24"/>
          <w:lang w:val="es-ES"/>
          <w14:ligatures w14:val="none"/>
        </w:rPr>
        <w:t>”si no vas con alguien muy cercano terminas quedando ausente entonces sí es un poquito ese conflicto de cómo abordar o enfrentar algo que no conoces que se sigue algo complicado de este punto entender que los demás no te llegan a estar atendiendo sino de que tú tienes que buscar ser completamente autosuficiente</w:t>
      </w:r>
      <w:r>
        <w:rPr>
          <w:rFonts w:ascii="Arial" w:eastAsia="Arial" w:hAnsi="Arial" w:cs="Arial"/>
          <w:kern w:val="0"/>
          <w:sz w:val="24"/>
          <w:szCs w:val="24"/>
          <w:lang w:val="es-ES"/>
          <w14:ligatures w14:val="none"/>
        </w:rPr>
        <w:t xml:space="preserve">…” (Participante 4). </w:t>
      </w:r>
      <w:r>
        <w:rPr>
          <w:rFonts w:ascii="Arial" w:eastAsia="Arial" w:hAnsi="Arial" w:cs="Arial"/>
          <w:i/>
          <w:iCs/>
          <w:kern w:val="0"/>
          <w:sz w:val="24"/>
          <w:szCs w:val="24"/>
          <w:lang w:val="es-ES"/>
          <w14:ligatures w14:val="none"/>
        </w:rPr>
        <w:t xml:space="preserve">“Yo tuve una vida laboral por mencionarlo así porque yo estuve 3 meses y la universidad en un horario de ocho a cuatro en ocasiones hasta las cinco… yo estaba en un lugar en una oficina en donde había más personas y a pesar de que hablan el mismo idioma el choque cultural sí es bastante amplio </w:t>
      </w:r>
      <w:r>
        <w:rPr>
          <w:rFonts w:ascii="Arial" w:eastAsia="Arial" w:hAnsi="Arial" w:cs="Arial"/>
          <w:i/>
          <w:iCs/>
          <w:kern w:val="0"/>
          <w:sz w:val="24"/>
          <w:szCs w:val="24"/>
          <w:lang w:val="es-ES"/>
          <w14:ligatures w14:val="none"/>
        </w:rPr>
        <w:lastRenderedPageBreak/>
        <w:t xml:space="preserve">porque si nos comunicábamos en español pero el significado de las palabras o algunas acciones no es el mismo porque a veces emplean tonos de voz a los que no estamos acostumbrados”...“también hay horarios laborales más estrictos para parar las labores y atender alguna petición… adaptarme a la dinámica las primeras semanas sí fue difícil, aunque no imposible porque tuve que estar hiper alerta para poderme adaptar rápido”  </w:t>
      </w:r>
      <w:r>
        <w:rPr>
          <w:rFonts w:ascii="Arial" w:eastAsia="Arial" w:hAnsi="Arial" w:cs="Arial"/>
          <w:kern w:val="0"/>
          <w:sz w:val="24"/>
          <w:szCs w:val="24"/>
          <w:lang w:val="es-ES"/>
          <w14:ligatures w14:val="none"/>
        </w:rPr>
        <w:t>(Participante 3).</w:t>
      </w:r>
    </w:p>
    <w:p w14:paraId="4C1EAAA4" w14:textId="77777777" w:rsidR="0093626A" w:rsidRDefault="00000000" w:rsidP="00634580">
      <w:pPr>
        <w:spacing w:line="360" w:lineRule="auto"/>
        <w:ind w:firstLine="708"/>
        <w:jc w:val="both"/>
        <w:rPr>
          <w:rFonts w:ascii="Arial" w:eastAsia="Arial" w:hAnsi="Arial" w:cs="Arial"/>
          <w:i/>
          <w:iCs/>
          <w:kern w:val="0"/>
          <w:sz w:val="24"/>
          <w:szCs w:val="24"/>
          <w:lang w:val="es-ES"/>
          <w14:ligatures w14:val="none"/>
        </w:rPr>
      </w:pPr>
      <w:r>
        <w:rPr>
          <w:rFonts w:ascii="Arial" w:eastAsia="Arial" w:hAnsi="Arial" w:cs="Arial"/>
          <w:kern w:val="0"/>
          <w:sz w:val="24"/>
          <w:szCs w:val="24"/>
          <w:lang w:val="es-ES"/>
          <w14:ligatures w14:val="none"/>
        </w:rPr>
        <w:t>A pesar de las diferencias, se pueden encontrar similitudes entre las personas de diferentes países.</w:t>
      </w:r>
      <w:r w:rsidRPr="00634580">
        <w:rPr>
          <w:rFonts w:ascii="Arial" w:eastAsia="MS Gothic" w:hAnsi="Arial" w:cs="Arial"/>
          <w:kern w:val="0"/>
          <w:sz w:val="24"/>
          <w:szCs w:val="24"/>
          <w:lang w:val="es-ES"/>
          <w14:ligatures w14:val="none"/>
        </w:rPr>
        <w:t> </w:t>
      </w:r>
      <w:r>
        <w:rPr>
          <w:rFonts w:ascii="Arial" w:eastAsia="Arial" w:hAnsi="Arial" w:cs="Arial"/>
          <w:kern w:val="0"/>
          <w:sz w:val="24"/>
          <w:szCs w:val="24"/>
          <w:lang w:val="es-ES"/>
          <w14:ligatures w14:val="none"/>
        </w:rPr>
        <w:t xml:space="preserve">Está claro que los estudiantes están dispersos y distraídos en ocasiones, pero aun así se logró causar impacto en algunos de ellos. </w:t>
      </w:r>
    </w:p>
    <w:p w14:paraId="4F854585" w14:textId="77777777" w:rsidR="0093626A" w:rsidRDefault="00000000" w:rsidP="00634580">
      <w:pPr>
        <w:spacing w:line="360" w:lineRule="auto"/>
        <w:ind w:firstLine="708"/>
        <w:jc w:val="both"/>
        <w:rPr>
          <w:rFonts w:ascii="Arial" w:eastAsia="Arial" w:hAnsi="Arial" w:cs="Arial"/>
          <w:i/>
          <w:iCs/>
          <w:kern w:val="0"/>
          <w:sz w:val="24"/>
          <w:szCs w:val="24"/>
          <w:lang w:val="es-ES"/>
          <w14:ligatures w14:val="none"/>
        </w:rPr>
      </w:pPr>
      <w:r>
        <w:rPr>
          <w:rFonts w:ascii="Arial" w:eastAsia="Arial" w:hAnsi="Arial" w:cs="Arial"/>
          <w:kern w:val="0"/>
          <w:sz w:val="24"/>
          <w:szCs w:val="24"/>
          <w:lang w:val="es-ES"/>
          <w14:ligatures w14:val="none"/>
        </w:rPr>
        <w:t>En cuanto a la relación entre la educación, se muestran diferencias entre las formas de enseñar de México y las de otros países. “</w:t>
      </w:r>
      <w:r>
        <w:rPr>
          <w:rFonts w:ascii="Arial" w:eastAsia="Arial" w:hAnsi="Arial" w:cs="Arial"/>
          <w:i/>
          <w:iCs/>
          <w:kern w:val="0"/>
          <w:sz w:val="24"/>
          <w:szCs w:val="24"/>
          <w:lang w:val="es-ES"/>
          <w14:ligatures w14:val="none"/>
        </w:rPr>
        <w:t>Me pasó allá que al final de varias clases varios alumnos a los que ya les tocaba su intercambio se acercaban a preguntarme de México y dudas de Guadalajara, especialmente sobre la seguridad y la forma de vida y después me enteré de que uno de ellos sí vino a México de intercambio también aquí estaba dando clases entonces cuando regresé me di cuenta de que consultan la página de intercambios de la universidad”</w:t>
      </w:r>
      <w:r>
        <w:rPr>
          <w:rFonts w:ascii="Arial" w:eastAsia="Arial" w:hAnsi="Arial" w:cs="Arial"/>
          <w:kern w:val="0"/>
          <w:sz w:val="24"/>
          <w:szCs w:val="24"/>
          <w:lang w:val="es-ES"/>
          <w14:ligatures w14:val="none"/>
        </w:rPr>
        <w:t xml:space="preserve"> (</w:t>
      </w:r>
      <w:r>
        <w:rPr>
          <w:rFonts w:ascii="Arial" w:eastAsia="Arial" w:hAnsi="Arial" w:cs="Arial"/>
          <w:i/>
          <w:iCs/>
          <w:kern w:val="0"/>
          <w:sz w:val="24"/>
          <w:szCs w:val="24"/>
          <w:lang w:val="es-ES"/>
          <w14:ligatures w14:val="none"/>
        </w:rPr>
        <w:t>Participante 2).</w:t>
      </w:r>
    </w:p>
    <w:p w14:paraId="2461CCA2" w14:textId="77777777" w:rsidR="0093626A" w:rsidRDefault="00000000" w:rsidP="005915A7">
      <w:pPr>
        <w:spacing w:line="360" w:lineRule="auto"/>
        <w:jc w:val="both"/>
        <w:rPr>
          <w:rFonts w:ascii="Arial" w:eastAsia="Arial" w:hAnsi="Arial" w:cs="Arial"/>
          <w:kern w:val="0"/>
          <w:sz w:val="24"/>
          <w:szCs w:val="24"/>
          <w:lang w:val="es-ES"/>
          <w14:ligatures w14:val="none"/>
        </w:rPr>
      </w:pPr>
      <w:r>
        <w:rPr>
          <w:rFonts w:ascii="Arial" w:eastAsia="Arial" w:hAnsi="Arial" w:cs="Arial"/>
          <w:kern w:val="0"/>
          <w:sz w:val="24"/>
          <w:szCs w:val="24"/>
          <w:lang w:val="es-ES"/>
          <w14:ligatures w14:val="none"/>
        </w:rPr>
        <w:t>CÓDIGO: SENTIMIENTOS NEGATIVOS</w:t>
      </w:r>
    </w:p>
    <w:p w14:paraId="56F42C81" w14:textId="77777777" w:rsidR="0093626A" w:rsidRDefault="00000000" w:rsidP="005915A7">
      <w:pPr>
        <w:spacing w:line="360" w:lineRule="auto"/>
        <w:jc w:val="both"/>
        <w:rPr>
          <w:rFonts w:ascii="Arial" w:eastAsia="Arial" w:hAnsi="Arial" w:cs="Arial"/>
          <w:kern w:val="0"/>
          <w:sz w:val="24"/>
          <w:szCs w:val="24"/>
          <w:lang w:val="es-ES"/>
          <w14:ligatures w14:val="none"/>
        </w:rPr>
      </w:pPr>
      <w:r>
        <w:rPr>
          <w:rFonts w:ascii="Arial" w:eastAsia="Arial" w:hAnsi="Arial" w:cs="Arial"/>
          <w:kern w:val="0"/>
          <w:sz w:val="24"/>
          <w:szCs w:val="24"/>
          <w:lang w:val="es-ES"/>
          <w14:ligatures w14:val="none"/>
        </w:rPr>
        <w:t>Los sentimientos negativos tienen que ver con los trámites previos a la estancia, las complicaciones para concretar la participación y la colaboración de un par docente. “</w:t>
      </w:r>
      <w:r>
        <w:rPr>
          <w:rFonts w:ascii="Arial" w:eastAsia="Arial" w:hAnsi="Arial" w:cs="Arial"/>
          <w:i/>
          <w:iCs/>
          <w:kern w:val="0"/>
          <w:sz w:val="24"/>
          <w:szCs w:val="24"/>
          <w:lang w:val="es-ES"/>
          <w14:ligatures w14:val="none"/>
        </w:rPr>
        <w:t xml:space="preserve">En cuestión del ascenso posdoctoral que tuve uno de los retos por ejemplo aquí dentro de la universidad es cómo organizar todo tu trabajo para que quede antes resuelto porque vas a estar un tiempo ausente...” “originalmente mi estancia iba a ser en otra ciudad con otro par investigador, pero nos dimos cuenta de que nuestra investigación no estaba tan alineada y entonces tuve que replantear la investigación y contactar con otros investigadores para poder continuar con la línea y extenderme en otro caso…” </w:t>
      </w:r>
      <w:r>
        <w:rPr>
          <w:rFonts w:ascii="Arial" w:eastAsia="Arial" w:hAnsi="Arial" w:cs="Arial"/>
          <w:kern w:val="0"/>
          <w:sz w:val="24"/>
          <w:szCs w:val="24"/>
          <w:lang w:val="es-ES"/>
          <w14:ligatures w14:val="none"/>
        </w:rPr>
        <w:t>(</w:t>
      </w:r>
      <w:r>
        <w:rPr>
          <w:rFonts w:ascii="Arial" w:eastAsia="Arial" w:hAnsi="Arial" w:cs="Arial"/>
          <w:i/>
          <w:iCs/>
          <w:kern w:val="0"/>
          <w:sz w:val="24"/>
          <w:szCs w:val="24"/>
          <w:lang w:val="es-ES"/>
          <w14:ligatures w14:val="none"/>
        </w:rPr>
        <w:t>Participante 3).</w:t>
      </w:r>
    </w:p>
    <w:p w14:paraId="705C3FE8" w14:textId="77777777" w:rsidR="0093626A" w:rsidRDefault="00000000" w:rsidP="00634580">
      <w:pPr>
        <w:spacing w:line="360" w:lineRule="auto"/>
        <w:ind w:firstLine="708"/>
        <w:jc w:val="both"/>
        <w:rPr>
          <w:rFonts w:ascii="Arial" w:eastAsia="Arial" w:hAnsi="Arial" w:cs="Arial"/>
          <w:i/>
          <w:iCs/>
          <w:kern w:val="0"/>
          <w:sz w:val="24"/>
          <w:szCs w:val="24"/>
          <w:lang w:val="es-ES"/>
          <w14:ligatures w14:val="none"/>
        </w:rPr>
      </w:pPr>
      <w:r>
        <w:rPr>
          <w:rFonts w:ascii="Arial" w:eastAsia="Arial" w:hAnsi="Arial" w:cs="Arial"/>
          <w:kern w:val="0"/>
          <w:sz w:val="24"/>
          <w:szCs w:val="24"/>
          <w:lang w:val="es-ES"/>
          <w14:ligatures w14:val="none"/>
        </w:rPr>
        <w:t xml:space="preserve">También hay diferencias entre las formas de aprender de los alumnos y hubo frustración por la falta de respuesta y fue clara la necesidad de modificar las formas </w:t>
      </w:r>
      <w:r>
        <w:rPr>
          <w:rFonts w:ascii="Arial" w:eastAsia="Arial" w:hAnsi="Arial" w:cs="Arial"/>
          <w:kern w:val="0"/>
          <w:sz w:val="24"/>
          <w:szCs w:val="24"/>
          <w:lang w:val="es-ES"/>
          <w14:ligatures w14:val="none"/>
        </w:rPr>
        <w:lastRenderedPageBreak/>
        <w:t>de enseñanza que ya se habían planeado</w:t>
      </w:r>
      <w:r>
        <w:rPr>
          <w:rFonts w:ascii="Arial" w:eastAsia="Arial" w:hAnsi="Arial" w:cs="Arial"/>
          <w:i/>
          <w:iCs/>
          <w:kern w:val="0"/>
          <w:sz w:val="24"/>
          <w:szCs w:val="24"/>
          <w:lang w:val="es-ES"/>
          <w14:ligatures w14:val="none"/>
        </w:rPr>
        <w:t xml:space="preserve"> “Al decidirme a llegar a una universidad de habla hispana me di cuenta de que había mucha afinidad en la forma de trabajar, pero en la universidad italiana tuve un poco la barrera del idioma, que tampoco fue tan complicado porque muchos hablan español y por el trato me sentí como en casa…” </w:t>
      </w:r>
      <w:r>
        <w:rPr>
          <w:rFonts w:ascii="Arial" w:eastAsia="Arial" w:hAnsi="Arial" w:cs="Arial"/>
          <w:kern w:val="0"/>
          <w:sz w:val="24"/>
          <w:szCs w:val="24"/>
          <w:lang w:val="es-ES"/>
          <w14:ligatures w14:val="none"/>
        </w:rPr>
        <w:t>(Participante 1). “</w:t>
      </w:r>
      <w:r>
        <w:rPr>
          <w:rFonts w:ascii="Arial" w:eastAsia="Arial" w:hAnsi="Arial" w:cs="Arial"/>
          <w:i/>
          <w:iCs/>
          <w:kern w:val="0"/>
          <w:sz w:val="24"/>
          <w:szCs w:val="24"/>
          <w:lang w:val="es-ES"/>
          <w14:ligatures w14:val="none"/>
        </w:rPr>
        <w:t xml:space="preserve">La respuesta de los alumnos la primera vez que fui fue muy complicada porque son alumnos de ingeniería que no expresan dudas y te ves en la necesidad de seguir hablando y exponiendo durante cinco horas, que es lo que duraba mi clase, pero a la mitad ya se me había terminado el material…” “Con el tiempo fui modificando la clase para que participaran más y comencé a llevar artículos para que los leyeran y los discutiéramos y analizáramos en clase, pero al principio fue muy complicado promover su participación”. </w:t>
      </w:r>
      <w:r>
        <w:rPr>
          <w:rFonts w:ascii="Arial" w:eastAsia="Arial" w:hAnsi="Arial" w:cs="Arial"/>
          <w:kern w:val="0"/>
          <w:sz w:val="24"/>
          <w:szCs w:val="24"/>
          <w:lang w:val="es-ES"/>
          <w14:ligatures w14:val="none"/>
        </w:rPr>
        <w:t xml:space="preserve">(Participante 5). </w:t>
      </w:r>
      <w:r>
        <w:rPr>
          <w:rFonts w:ascii="Arial" w:eastAsia="Arial" w:hAnsi="Arial" w:cs="Arial"/>
          <w:i/>
          <w:iCs/>
          <w:kern w:val="0"/>
          <w:sz w:val="24"/>
          <w:szCs w:val="24"/>
          <w:lang w:val="es-ES"/>
          <w14:ligatures w14:val="none"/>
        </w:rPr>
        <w:t xml:space="preserve">“Bueno yo aparte también del idioma creo que la forma de enseñanza es muy diferente y es allá en Francia entonces entre que algunos hablaban sólo francés y otros hablaban muy poquito inglés y de repente querías hacerles preguntas y como que más bien esperaban que tú siguieras exponiendo y tuve que modificar un poco ese método y exponer el tema...” “Al final ya les ponía cuestionarios o crucigramas y vi que se divertían…fue un gran reto captar su atención y romper el hielo porque además las clases eran de tres horas y no quería que se aburrieran” </w:t>
      </w:r>
      <w:r>
        <w:rPr>
          <w:rFonts w:ascii="Arial" w:eastAsia="Arial" w:hAnsi="Arial" w:cs="Arial"/>
          <w:kern w:val="0"/>
          <w:sz w:val="24"/>
          <w:szCs w:val="24"/>
          <w:lang w:val="es-ES"/>
          <w14:ligatures w14:val="none"/>
        </w:rPr>
        <w:t xml:space="preserve">(Participante 2). </w:t>
      </w:r>
    </w:p>
    <w:p w14:paraId="1E0C8877" w14:textId="77777777" w:rsidR="0093626A" w:rsidRDefault="00000000" w:rsidP="00634580">
      <w:pPr>
        <w:spacing w:line="360" w:lineRule="auto"/>
        <w:ind w:firstLine="708"/>
        <w:jc w:val="both"/>
        <w:rPr>
          <w:rFonts w:ascii="Arial" w:eastAsia="Arial" w:hAnsi="Arial" w:cs="Arial"/>
          <w:i/>
          <w:iCs/>
          <w:kern w:val="0"/>
          <w:sz w:val="24"/>
          <w:szCs w:val="24"/>
          <w:lang w:val="es-ES"/>
          <w14:ligatures w14:val="none"/>
        </w:rPr>
      </w:pPr>
      <w:r>
        <w:rPr>
          <w:rFonts w:ascii="Arial" w:eastAsia="Arial" w:hAnsi="Arial" w:cs="Arial"/>
          <w:kern w:val="0"/>
          <w:sz w:val="24"/>
          <w:szCs w:val="24"/>
          <w:lang w:val="es-ES"/>
          <w14:ligatures w14:val="none"/>
        </w:rPr>
        <w:t xml:space="preserve">A pesar del apoyo universitario y de la institución receptora, en algunos casos las complicaciones pueden estar relacionadas con el dinero, dado que no en todas las ocasiones se consiguen apoyos totales: </w:t>
      </w:r>
      <w:r>
        <w:rPr>
          <w:rFonts w:ascii="Arial" w:eastAsia="Arial" w:hAnsi="Arial" w:cs="Arial"/>
          <w:i/>
          <w:iCs/>
          <w:kern w:val="0"/>
          <w:sz w:val="24"/>
          <w:szCs w:val="24"/>
          <w:lang w:val="es-ES"/>
          <w14:ligatures w14:val="none"/>
        </w:rPr>
        <w:t xml:space="preserve">La cuestión del dinero siempre va a ser complicada porque, aunque tengas cierto dinero o beca, siempre va a ser mucho más caro que en México”. (Participante 2). </w:t>
      </w:r>
    </w:p>
    <w:p w14:paraId="51123A5E" w14:textId="77777777" w:rsidR="0093626A" w:rsidRDefault="00000000" w:rsidP="005915A7">
      <w:pPr>
        <w:spacing w:line="360" w:lineRule="auto"/>
        <w:jc w:val="both"/>
        <w:rPr>
          <w:rFonts w:ascii="Arial" w:eastAsia="Arial" w:hAnsi="Arial" w:cs="Arial"/>
          <w:kern w:val="0"/>
          <w:sz w:val="24"/>
          <w:szCs w:val="24"/>
          <w:lang w:val="es-ES"/>
          <w14:ligatures w14:val="none"/>
        </w:rPr>
      </w:pPr>
      <w:r>
        <w:rPr>
          <w:rFonts w:ascii="Arial" w:eastAsia="Arial" w:hAnsi="Arial" w:cs="Arial"/>
          <w:kern w:val="0"/>
          <w:sz w:val="24"/>
          <w:szCs w:val="24"/>
          <w:lang w:val="es-ES"/>
          <w14:ligatures w14:val="none"/>
        </w:rPr>
        <w:t>CÓDIGO: INTERACCIÓN Y RESPONSABILIDAD</w:t>
      </w:r>
    </w:p>
    <w:p w14:paraId="435616F8" w14:textId="77777777" w:rsidR="0093626A" w:rsidRDefault="00000000" w:rsidP="005915A7">
      <w:pPr>
        <w:spacing w:line="360" w:lineRule="auto"/>
        <w:jc w:val="both"/>
        <w:rPr>
          <w:rFonts w:ascii="Arial" w:eastAsia="Arial" w:hAnsi="Arial" w:cs="Arial"/>
          <w:i/>
          <w:iCs/>
          <w:kern w:val="0"/>
          <w:sz w:val="24"/>
          <w:szCs w:val="24"/>
          <w:lang w:val="es-ES"/>
          <w14:ligatures w14:val="none"/>
        </w:rPr>
      </w:pPr>
      <w:r>
        <w:rPr>
          <w:rFonts w:ascii="Arial" w:eastAsia="Arial" w:hAnsi="Arial" w:cs="Arial"/>
          <w:kern w:val="0"/>
          <w:sz w:val="24"/>
          <w:szCs w:val="24"/>
          <w:lang w:val="es-ES"/>
          <w14:ligatures w14:val="none"/>
        </w:rPr>
        <w:t xml:space="preserve">La sensación de ir representando a una institución está presente en las acciones personales y profesionales que se ejerzan en el país de acogida </w:t>
      </w:r>
      <w:r>
        <w:rPr>
          <w:rFonts w:ascii="Arial" w:eastAsia="Arial" w:hAnsi="Arial" w:cs="Arial"/>
          <w:i/>
          <w:iCs/>
          <w:kern w:val="0"/>
          <w:sz w:val="24"/>
          <w:szCs w:val="24"/>
          <w:lang w:val="es-ES"/>
          <w14:ligatures w14:val="none"/>
        </w:rPr>
        <w:t xml:space="preserve">“Yo creo que sí fortalece muchísimo la institución y siempre llevas la ´camisa´ y te van a reconocer porque vienes de tal institución y entonces sí es muy importante saber cómo dirigirte cómo llevar tu postura y la de tu institución, que no puedes hacer a un lado y te haces responsable de esa representación”…“Entonces sí considero que a en esa </w:t>
      </w:r>
      <w:r>
        <w:rPr>
          <w:rFonts w:ascii="Arial" w:eastAsia="Arial" w:hAnsi="Arial" w:cs="Arial"/>
          <w:i/>
          <w:iCs/>
          <w:kern w:val="0"/>
          <w:sz w:val="24"/>
          <w:szCs w:val="24"/>
          <w:lang w:val="es-ES"/>
          <w14:ligatures w14:val="none"/>
        </w:rPr>
        <w:lastRenderedPageBreak/>
        <w:t xml:space="preserve">relación de cómo te conservas a entre esa postura la relación o el beneficio que obtiene la universidad va a crecer aún más porque sí vas a mostrar qué es lo que los que trabajamos sabemos hacer afuera para poder abrir puertas y generar relaciones”. </w:t>
      </w:r>
      <w:r>
        <w:rPr>
          <w:rFonts w:ascii="Arial" w:eastAsia="Arial" w:hAnsi="Arial" w:cs="Arial"/>
          <w:kern w:val="0"/>
          <w:sz w:val="24"/>
          <w:szCs w:val="24"/>
          <w:lang w:val="es-ES"/>
          <w14:ligatures w14:val="none"/>
        </w:rPr>
        <w:t>(Participante 4).</w:t>
      </w:r>
    </w:p>
    <w:p w14:paraId="58BBF45F" w14:textId="77777777" w:rsidR="0093626A" w:rsidRDefault="00000000" w:rsidP="00634580">
      <w:pPr>
        <w:spacing w:line="360" w:lineRule="auto"/>
        <w:ind w:firstLine="708"/>
        <w:jc w:val="both"/>
        <w:rPr>
          <w:rFonts w:ascii="Arial" w:eastAsia="Arial" w:hAnsi="Arial" w:cs="Arial"/>
          <w:i/>
          <w:iCs/>
          <w:kern w:val="0"/>
          <w:sz w:val="24"/>
          <w:szCs w:val="24"/>
          <w:lang w:val="es-ES"/>
          <w14:ligatures w14:val="none"/>
        </w:rPr>
      </w:pPr>
      <w:r>
        <w:rPr>
          <w:rFonts w:ascii="Arial" w:eastAsia="Arial" w:hAnsi="Arial" w:cs="Arial"/>
          <w:kern w:val="0"/>
          <w:sz w:val="24"/>
          <w:szCs w:val="24"/>
          <w:lang w:val="es-ES"/>
          <w14:ligatures w14:val="none"/>
        </w:rPr>
        <w:t>Los docentes muestran su convicción de que, independientemente de las dificultades, llevan a cabo sus tareas adecuadamente para que el país y la institución sean valorados favorablemente para quienes surjan en el futuro. “</w:t>
      </w:r>
      <w:r>
        <w:rPr>
          <w:rFonts w:ascii="Arial" w:eastAsia="Arial" w:hAnsi="Arial" w:cs="Arial"/>
          <w:i/>
          <w:iCs/>
          <w:kern w:val="0"/>
          <w:sz w:val="24"/>
          <w:szCs w:val="24"/>
          <w:lang w:val="es-ES"/>
          <w14:ligatures w14:val="none"/>
        </w:rPr>
        <w:t xml:space="preserve">Yo creo que si haces bien las cosas vas a sentirte bien y si al contrario fallas, no eres tú solo, sino que estás poniendo en mal el nombre de tu institución y de tu país…” “Entonces de tu desempeño y tu comportamiento va a depender si le van a abrir las puertas a otras personas de tu institución entonces si estás buscando un futuro estás sembrando semillas hoy facilitando o dificultando verdad para los que vengan después de ese país”. </w:t>
      </w:r>
      <w:r>
        <w:rPr>
          <w:rFonts w:ascii="Arial" w:eastAsia="Arial" w:hAnsi="Arial" w:cs="Arial"/>
          <w:kern w:val="0"/>
          <w:sz w:val="24"/>
          <w:szCs w:val="24"/>
          <w:lang w:val="es-ES"/>
          <w14:ligatures w14:val="none"/>
        </w:rPr>
        <w:t>(Participante 5)</w:t>
      </w:r>
      <w:r>
        <w:rPr>
          <w:rFonts w:ascii="Arial" w:eastAsia="Arial" w:hAnsi="Arial" w:cs="Arial"/>
          <w:i/>
          <w:iCs/>
          <w:kern w:val="0"/>
          <w:sz w:val="24"/>
          <w:szCs w:val="24"/>
          <w:lang w:val="es-ES"/>
          <w14:ligatures w14:val="none"/>
        </w:rPr>
        <w:t xml:space="preserve">. </w:t>
      </w:r>
    </w:p>
    <w:p w14:paraId="3D9AB6E8" w14:textId="77777777" w:rsidR="0093626A" w:rsidRDefault="00000000" w:rsidP="00634580">
      <w:pPr>
        <w:spacing w:line="360" w:lineRule="auto"/>
        <w:ind w:firstLine="708"/>
        <w:jc w:val="both"/>
        <w:rPr>
          <w:rFonts w:ascii="Arial" w:eastAsia="Arial" w:hAnsi="Arial" w:cs="Arial"/>
          <w:i/>
          <w:iCs/>
          <w:kern w:val="0"/>
          <w:sz w:val="24"/>
          <w:szCs w:val="24"/>
          <w:lang w:val="es-ES"/>
          <w14:ligatures w14:val="none"/>
        </w:rPr>
      </w:pPr>
      <w:r>
        <w:rPr>
          <w:rFonts w:ascii="Arial" w:eastAsia="Arial" w:hAnsi="Arial" w:cs="Arial"/>
          <w:kern w:val="0"/>
          <w:sz w:val="24"/>
          <w:szCs w:val="24"/>
          <w:lang w:val="es-ES"/>
          <w14:ligatures w14:val="none"/>
        </w:rPr>
        <w:t xml:space="preserve">Son conscientes también de que su actuar modifica estrategias institucionales y que da pie para el establecimiento de nuevas relaciones e incluso convenios oficiales: </w:t>
      </w:r>
      <w:r>
        <w:rPr>
          <w:rFonts w:ascii="Arial" w:eastAsia="Arial" w:hAnsi="Arial" w:cs="Arial"/>
          <w:i/>
          <w:iCs/>
          <w:kern w:val="0"/>
          <w:sz w:val="24"/>
          <w:szCs w:val="24"/>
          <w:lang w:val="es-ES"/>
          <w14:ligatures w14:val="none"/>
        </w:rPr>
        <w:t xml:space="preserve">“Muchas veces, sobre todo cuando estás en el área de investigación toca abrir puertas…” “Usualmente me ha pasado que ya está el caminito más o menos hecho y es donde toca fortalecerlo para que de allí se afiance y en muchas ocasiones toca abrir esas nuevas relaciones para que otros puedan también seguir el camino y allí es donde creo que se beneficia toda la universidad porque se tienen nuevas relaciones para investigadores y para estudiantes y que no les sea tan complicado porque además de lo que aprendes y aportas haces contactos pues a fin de cuentas para eso sirve”…”Siempre que salimos tenemos oportunidad de aprender una forma más eficiente de hacer las cosas, otras metodologías de trabajo que por ejemplo en Europa son totalmente distintas pero sí te ayudan” </w:t>
      </w:r>
      <w:r>
        <w:rPr>
          <w:rFonts w:ascii="Arial" w:eastAsia="Arial" w:hAnsi="Arial" w:cs="Arial"/>
          <w:kern w:val="0"/>
          <w:sz w:val="24"/>
          <w:szCs w:val="24"/>
          <w:lang w:val="es-ES"/>
          <w14:ligatures w14:val="none"/>
        </w:rPr>
        <w:t xml:space="preserve">(Participante 1). </w:t>
      </w:r>
    </w:p>
    <w:p w14:paraId="7367A650" w14:textId="77777777" w:rsidR="0093626A" w:rsidRDefault="00000000" w:rsidP="00634580">
      <w:pPr>
        <w:spacing w:line="360" w:lineRule="auto"/>
        <w:ind w:firstLine="708"/>
        <w:jc w:val="both"/>
        <w:rPr>
          <w:rFonts w:ascii="Arial" w:eastAsia="Arial" w:hAnsi="Arial" w:cs="Arial"/>
          <w:kern w:val="0"/>
          <w:sz w:val="24"/>
          <w:szCs w:val="24"/>
          <w:lang w:val="es-ES"/>
          <w14:ligatures w14:val="none"/>
        </w:rPr>
      </w:pPr>
      <w:r>
        <w:rPr>
          <w:rFonts w:ascii="Arial" w:eastAsia="Arial" w:hAnsi="Arial" w:cs="Arial"/>
          <w:kern w:val="0"/>
          <w:sz w:val="24"/>
          <w:szCs w:val="24"/>
          <w:lang w:val="es-ES"/>
          <w14:ligatures w14:val="none"/>
        </w:rPr>
        <w:t xml:space="preserve">Hubo un caso donde la estancia docente generó un verdadero intercambio internacional en el sentido de que dos estudiantes de la universidad extranjera que formaron parte de los grupos de la profesora de la UAG decidieron gestionar su movilidad hacia nuestro país: </w:t>
      </w:r>
      <w:r>
        <w:rPr>
          <w:rFonts w:ascii="Arial" w:eastAsia="Arial" w:hAnsi="Arial" w:cs="Arial"/>
          <w:i/>
          <w:iCs/>
          <w:kern w:val="0"/>
          <w:sz w:val="24"/>
          <w:szCs w:val="24"/>
          <w:lang w:val="es-ES"/>
          <w14:ligatures w14:val="none"/>
        </w:rPr>
        <w:t xml:space="preserve">“Cuando apliqué el instrumento yo daba una breve </w:t>
      </w:r>
      <w:r>
        <w:rPr>
          <w:rFonts w:ascii="Arial" w:eastAsia="Arial" w:hAnsi="Arial" w:cs="Arial"/>
          <w:i/>
          <w:iCs/>
          <w:kern w:val="0"/>
          <w:sz w:val="24"/>
          <w:szCs w:val="24"/>
          <w:lang w:val="es-ES"/>
          <w14:ligatures w14:val="none"/>
        </w:rPr>
        <w:lastRenderedPageBreak/>
        <w:t>explicación de lo que era mi investigación para que los alumnos conocieran y pudieran responder las encuestas o el instrumento correctamente, y casualmente ahora en mi clase tengo dos alumnos de los que allá tenía que decidieron venir a hacer su intercambio, me reconocieron, me saludaron con mucho gusto y me preguntaron cómo iba mi investigación…” “Muchas veces parece que están dispersos, pero en esta ocasión les agradó la información y decidieron venir, lo que me hace sentirme muy orgullosa”.</w:t>
      </w:r>
      <w:r>
        <w:rPr>
          <w:rFonts w:ascii="Arial" w:eastAsia="Arial" w:hAnsi="Arial" w:cs="Arial"/>
          <w:kern w:val="0"/>
          <w:sz w:val="24"/>
          <w:szCs w:val="24"/>
          <w:lang w:val="es-ES"/>
          <w14:ligatures w14:val="none"/>
        </w:rPr>
        <w:t xml:space="preserve">  (Participante 3). </w:t>
      </w:r>
    </w:p>
    <w:p w14:paraId="6A644891" w14:textId="77777777" w:rsidR="0093626A" w:rsidRDefault="00000000" w:rsidP="005915A7">
      <w:pPr>
        <w:spacing w:line="360" w:lineRule="auto"/>
        <w:jc w:val="both"/>
        <w:rPr>
          <w:rFonts w:ascii="Arial" w:eastAsia="Arial" w:hAnsi="Arial" w:cs="Arial"/>
          <w:kern w:val="0"/>
          <w:sz w:val="24"/>
          <w:szCs w:val="24"/>
          <w:lang w:val="es-ES"/>
          <w14:ligatures w14:val="none"/>
        </w:rPr>
      </w:pPr>
      <w:r>
        <w:rPr>
          <w:rFonts w:ascii="Arial" w:eastAsia="Arial" w:hAnsi="Arial" w:cs="Arial"/>
          <w:kern w:val="0"/>
          <w:sz w:val="24"/>
          <w:szCs w:val="24"/>
          <w:lang w:val="es-ES"/>
          <w14:ligatures w14:val="none"/>
        </w:rPr>
        <w:t>CÓDIGO: EDUCACIÓN UNIVERSITARIA</w:t>
      </w:r>
    </w:p>
    <w:p w14:paraId="2440C61C" w14:textId="77777777" w:rsidR="0093626A" w:rsidRDefault="00000000" w:rsidP="005915A7">
      <w:pPr>
        <w:spacing w:line="360" w:lineRule="auto"/>
        <w:jc w:val="both"/>
        <w:rPr>
          <w:rFonts w:ascii="Arial" w:eastAsia="Arial" w:hAnsi="Arial" w:cs="Arial"/>
          <w:i/>
          <w:iCs/>
          <w:kern w:val="0"/>
          <w:sz w:val="24"/>
          <w:szCs w:val="24"/>
          <w:lang w:val="es-ES"/>
          <w14:ligatures w14:val="none"/>
        </w:rPr>
      </w:pPr>
      <w:r>
        <w:rPr>
          <w:rFonts w:ascii="Arial" w:eastAsia="Arial" w:hAnsi="Arial" w:cs="Arial"/>
          <w:kern w:val="0"/>
          <w:sz w:val="24"/>
          <w:szCs w:val="24"/>
          <w:lang w:val="es-ES"/>
          <w14:ligatures w14:val="none"/>
        </w:rPr>
        <w:t xml:space="preserve">En este código, la Inteligencia Artificial del Atlas TI agrupó algunos temas más variados como los beneficios de las estancias en el extranjero, con énfasis en el enriquecimiento que se puede dar tanto para el rol de estudiante como para el rol de docente. </w:t>
      </w:r>
      <w:r>
        <w:rPr>
          <w:rFonts w:ascii="Arial" w:eastAsia="Arial" w:hAnsi="Arial" w:cs="Arial"/>
          <w:i/>
          <w:iCs/>
          <w:kern w:val="0"/>
          <w:sz w:val="24"/>
          <w:szCs w:val="24"/>
          <w:lang w:val="es-ES"/>
          <w14:ligatures w14:val="none"/>
        </w:rPr>
        <w:t xml:space="preserve">“Creo que es igual, que el enriquecimiento con los nuevos colaboradores son las nuevas oportunidades que se tienen para hacer proyectos en común pero ahorita también está buscando una colaboración con mi proyecto de doctorado y estoy por iniciar esa opción…” “…Por otro lado, la parte académica con los estudiantes también puede verse enriquecida y porque aprendes mucho de su cultura y su forma de recibir los temas y lo que les gusta, que también te podría servir para aplicar aquí”. </w:t>
      </w:r>
      <w:r>
        <w:rPr>
          <w:rFonts w:ascii="Arial" w:eastAsia="Arial" w:hAnsi="Arial" w:cs="Arial"/>
          <w:kern w:val="0"/>
          <w:sz w:val="24"/>
          <w:szCs w:val="24"/>
          <w:lang w:val="es-ES"/>
          <w14:ligatures w14:val="none"/>
        </w:rPr>
        <w:t>(Participante 2). “</w:t>
      </w:r>
      <w:r>
        <w:rPr>
          <w:rFonts w:ascii="Arial" w:eastAsia="Arial" w:hAnsi="Arial" w:cs="Arial"/>
          <w:i/>
          <w:iCs/>
          <w:kern w:val="0"/>
          <w:sz w:val="24"/>
          <w:szCs w:val="24"/>
          <w:lang w:val="es-ES"/>
          <w14:ligatures w14:val="none"/>
        </w:rPr>
        <w:t xml:space="preserve">En mi caso pude llevar a cabo una comparativa con lo de mi línea de investigación, que es la generación de conocimiento, específicamente entre la Generación Z española con la mexicana y hacerlo desde esa óptica y con ambas para ver qué podemos traer a nuestra institución y a nuestro país; nuevas ópticas y nuevas estrategias que pudieran ser favorables para toda la comunidad y creo que se trata de motivar…” “…Yo cada que puedo en mis clases comento que hice una investigación a mis alumnos para que ellos también se entusiasmen, se motiven y puedan hacerlo porque amplía totalmente el panorama en todos los sentidos: académico, personal y profesional y creo que enriquece bastante ese tipo de experiencias…” </w:t>
      </w:r>
      <w:r>
        <w:rPr>
          <w:rFonts w:ascii="Arial" w:eastAsia="Arial" w:hAnsi="Arial" w:cs="Arial"/>
          <w:kern w:val="0"/>
          <w:sz w:val="24"/>
          <w:szCs w:val="24"/>
          <w:lang w:val="es-ES"/>
          <w14:ligatures w14:val="none"/>
        </w:rPr>
        <w:t xml:space="preserve">(Participante 3). </w:t>
      </w:r>
    </w:p>
    <w:p w14:paraId="63FCD512" w14:textId="77777777" w:rsidR="0093626A" w:rsidRDefault="00000000" w:rsidP="00634580">
      <w:pPr>
        <w:spacing w:line="360" w:lineRule="auto"/>
        <w:ind w:firstLine="708"/>
        <w:jc w:val="both"/>
        <w:rPr>
          <w:rFonts w:ascii="Arial" w:eastAsia="Arial" w:hAnsi="Arial" w:cs="Arial"/>
          <w:i/>
          <w:iCs/>
          <w:kern w:val="0"/>
          <w:sz w:val="24"/>
          <w:szCs w:val="24"/>
          <w:lang w:val="es-ES"/>
          <w14:ligatures w14:val="none"/>
        </w:rPr>
      </w:pPr>
      <w:r>
        <w:rPr>
          <w:rFonts w:ascii="Arial" w:eastAsia="Arial" w:hAnsi="Arial" w:cs="Arial"/>
          <w:kern w:val="0"/>
          <w:sz w:val="24"/>
          <w:szCs w:val="24"/>
          <w:lang w:val="es-ES"/>
          <w14:ligatures w14:val="none"/>
        </w:rPr>
        <w:t xml:space="preserve">Por otro lado, se incluyó aquí la importancia de continuar con la difusión de estas acciones, pero a la vez, de facilitar estos procesos para que estas estrategias se aprovechen mejor. </w:t>
      </w:r>
      <w:r>
        <w:rPr>
          <w:rFonts w:ascii="Arial" w:eastAsia="Arial" w:hAnsi="Arial" w:cs="Arial"/>
          <w:i/>
          <w:iCs/>
          <w:kern w:val="0"/>
          <w:sz w:val="24"/>
          <w:szCs w:val="24"/>
          <w:lang w:val="es-ES"/>
          <w14:ligatures w14:val="none"/>
        </w:rPr>
        <w:t xml:space="preserve">“Definitivamente se ayuda en la realización personal, porque </w:t>
      </w:r>
      <w:r>
        <w:rPr>
          <w:rFonts w:ascii="Arial" w:eastAsia="Arial" w:hAnsi="Arial" w:cs="Arial"/>
          <w:i/>
          <w:iCs/>
          <w:kern w:val="0"/>
          <w:sz w:val="24"/>
          <w:szCs w:val="24"/>
          <w:lang w:val="es-ES"/>
          <w14:ligatures w14:val="none"/>
        </w:rPr>
        <w:lastRenderedPageBreak/>
        <w:t>todo ser humano tiene que salir en un momento dado de su zona de confort para salir a otra parte una temporada para tener perspectivas diferentes para que tus alumnos también aprendan de ellas y como mexicanos puedan aplicarla, especialmente en mi tema que es el cambio climático”. (</w:t>
      </w:r>
      <w:r>
        <w:rPr>
          <w:rFonts w:ascii="Arial" w:eastAsia="Arial" w:hAnsi="Arial" w:cs="Arial"/>
          <w:kern w:val="0"/>
          <w:sz w:val="24"/>
          <w:szCs w:val="24"/>
          <w:lang w:val="es-ES"/>
          <w14:ligatures w14:val="none"/>
        </w:rPr>
        <w:t xml:space="preserve">Participante 5). </w:t>
      </w:r>
      <w:r>
        <w:rPr>
          <w:rFonts w:ascii="Arial" w:eastAsia="Arial" w:hAnsi="Arial" w:cs="Arial"/>
          <w:i/>
          <w:iCs/>
          <w:kern w:val="0"/>
          <w:sz w:val="24"/>
          <w:szCs w:val="24"/>
          <w:lang w:val="es-ES"/>
          <w14:ligatures w14:val="none"/>
        </w:rPr>
        <w:t xml:space="preserve">“Yo creo que una forma de promover estas acciones es agilizar y hacer amigables los procesos, que en ocasiones son muy largos y aunque uno pueda ser muy estructurada, a veces se vuelven complejos, por ejemplo, desde el convenio oficial…” “También podrían difundirse más este tipo de actividades pues en mi área es indispensable la práctica…”. “…Se necesita motivar a los estudiantes porque algunos perdieron motivación y como que no han salido psicológicamente de la pandemia, pero si profesores o estudiantes que han salido lo difunden, se pueden motivar…” “Existen menos convenios de investigación y hay que irlos fomentando…” </w:t>
      </w:r>
      <w:r>
        <w:rPr>
          <w:rFonts w:ascii="Arial" w:eastAsia="Arial" w:hAnsi="Arial" w:cs="Arial"/>
          <w:kern w:val="0"/>
          <w:sz w:val="24"/>
          <w:szCs w:val="24"/>
          <w:lang w:val="es-ES"/>
          <w14:ligatures w14:val="none"/>
        </w:rPr>
        <w:t xml:space="preserve">(Participante 1). </w:t>
      </w:r>
    </w:p>
    <w:p w14:paraId="55AC2422" w14:textId="77777777" w:rsidR="0093626A" w:rsidRDefault="00000000" w:rsidP="005915A7">
      <w:pPr>
        <w:spacing w:line="360" w:lineRule="auto"/>
        <w:jc w:val="both"/>
        <w:rPr>
          <w:rFonts w:ascii="Arial" w:eastAsia="Arial" w:hAnsi="Arial" w:cs="Arial"/>
          <w:b/>
          <w:bCs/>
          <w:kern w:val="0"/>
          <w:sz w:val="24"/>
          <w:szCs w:val="24"/>
          <w:lang w:val="es-ES"/>
          <w14:ligatures w14:val="none"/>
        </w:rPr>
      </w:pPr>
      <w:r>
        <w:rPr>
          <w:rFonts w:ascii="Arial" w:eastAsia="Arial" w:hAnsi="Arial" w:cs="Arial"/>
          <w:b/>
          <w:bCs/>
          <w:kern w:val="0"/>
          <w:sz w:val="24"/>
          <w:szCs w:val="24"/>
          <w:lang w:val="es-ES"/>
          <w14:ligatures w14:val="none"/>
        </w:rPr>
        <w:t>5.- Discusión</w:t>
      </w:r>
    </w:p>
    <w:p w14:paraId="47F301B2" w14:textId="77777777" w:rsidR="0093626A" w:rsidRDefault="00000000" w:rsidP="005915A7">
      <w:pPr>
        <w:spacing w:line="360" w:lineRule="auto"/>
        <w:ind w:firstLine="720"/>
        <w:jc w:val="both"/>
        <w:rPr>
          <w:rFonts w:ascii="Arial" w:eastAsia="Arial" w:hAnsi="Arial" w:cs="Arial"/>
          <w:kern w:val="0"/>
          <w:sz w:val="24"/>
          <w:szCs w:val="24"/>
          <w:lang w:val="es-ES"/>
          <w14:ligatures w14:val="none"/>
        </w:rPr>
      </w:pPr>
      <w:r>
        <w:rPr>
          <w:rFonts w:ascii="Arial" w:eastAsia="Arial" w:hAnsi="Arial" w:cs="Arial"/>
          <w:kern w:val="0"/>
          <w:sz w:val="24"/>
          <w:szCs w:val="24"/>
          <w:lang w:val="es-ES"/>
          <w14:ligatures w14:val="none"/>
        </w:rPr>
        <w:t xml:space="preserve">El presente trabajo tuvo un planteamiento fenomenológico, postura que permite problematizar el punto de vista de los participantes y centrarse en su experiencia subjetiva. En cuanto a tema en cuestión, que es la movilidad de profesores, este enfoque se utilizó para comprender las experiencias de los docentes que participaron en programas de intercambio académico en el extranjero. Después de exponer los hallazgos del estudio, en este apartado se analizará el cumplimiento de los objetivos, preguntas de investigación y supuestos planteados al principio del trabajo a la luz de posturas o trabajos previos sobre el tema. </w:t>
      </w:r>
    </w:p>
    <w:p w14:paraId="5094DF3B" w14:textId="77777777" w:rsidR="0093626A" w:rsidRDefault="00000000" w:rsidP="005915A7">
      <w:pPr>
        <w:spacing w:after="0" w:line="360" w:lineRule="auto"/>
        <w:ind w:firstLine="360"/>
        <w:jc w:val="both"/>
        <w:rPr>
          <w:rFonts w:ascii="Arial" w:eastAsia="Arial" w:hAnsi="Arial" w:cs="Arial"/>
          <w:color w:val="000000"/>
          <w:kern w:val="0"/>
          <w:sz w:val="24"/>
          <w:szCs w:val="24"/>
          <w:lang w:val="es-ES"/>
          <w14:ligatures w14:val="none"/>
        </w:rPr>
      </w:pPr>
      <w:r>
        <w:rPr>
          <w:rFonts w:ascii="Arial" w:eastAsia="Arial" w:hAnsi="Arial" w:cs="Arial"/>
          <w:color w:val="000000"/>
          <w:kern w:val="0"/>
          <w:sz w:val="24"/>
          <w:szCs w:val="24"/>
          <w:lang w:val="es-ES"/>
          <w14:ligatures w14:val="none"/>
        </w:rPr>
        <w:t xml:space="preserve">La primera pregunta de investigación se relaciona con los retos a los que se enfrentan los profesores interesados en realizar movilidad, los cuales principalmente se encuentran en los procesos y políticas de su propia institución de origen, aunque también influye de manera importante la institución de destino, así como el contexto de los países de ambas. </w:t>
      </w:r>
    </w:p>
    <w:p w14:paraId="7A44C4E7" w14:textId="77777777" w:rsidR="0093626A" w:rsidRDefault="00000000" w:rsidP="005915A7">
      <w:pPr>
        <w:spacing w:after="0" w:line="360" w:lineRule="auto"/>
        <w:ind w:firstLine="360"/>
        <w:jc w:val="both"/>
        <w:rPr>
          <w:rFonts w:ascii="Arial" w:eastAsia="Arial" w:hAnsi="Arial" w:cs="Arial"/>
          <w:color w:val="000000"/>
          <w:kern w:val="0"/>
          <w:sz w:val="24"/>
          <w:szCs w:val="24"/>
          <w:lang w:val="es-ES"/>
          <w14:ligatures w14:val="none"/>
        </w:rPr>
      </w:pPr>
      <w:r>
        <w:rPr>
          <w:rFonts w:ascii="Arial" w:eastAsia="Arial" w:hAnsi="Arial" w:cs="Arial"/>
          <w:color w:val="000000"/>
          <w:kern w:val="0"/>
          <w:sz w:val="24"/>
          <w:szCs w:val="24"/>
          <w:lang w:val="es-ES"/>
          <w14:ligatures w14:val="none"/>
        </w:rPr>
        <w:t xml:space="preserve">En el caso de la propia institución de origen, como señala Sánchez Costa (2017) “La burocratización de la universidad, el triunfo de la letra sobre el espíritu, del proceso sobre la finalidad, está carcomiendo la vitalidad de muchas instituciones de </w:t>
      </w:r>
      <w:r>
        <w:rPr>
          <w:rFonts w:ascii="Arial" w:eastAsia="Arial" w:hAnsi="Arial" w:cs="Arial"/>
          <w:color w:val="000000"/>
          <w:kern w:val="0"/>
          <w:sz w:val="24"/>
          <w:szCs w:val="24"/>
          <w:lang w:val="es-ES"/>
          <w14:ligatures w14:val="none"/>
        </w:rPr>
        <w:lastRenderedPageBreak/>
        <w:t>educación superior.” La internacionalización no queda exenta de dichos vicios, lo que muchas veces desilusiona a los interesados, debido a los largos procesos y tiempos de espera que implican, finalmente llevándolos a desistir de la postulación. Es por ello que, con objetivo de agilizar los procesos y apoyar a los profesores interesados, “Otra tarea que debe emprenderse en el corto plazo es la sensibilización a la comunidad sobre la importancia de la movilidad.” (Orozco, 2009:159).</w:t>
      </w:r>
    </w:p>
    <w:p w14:paraId="3B42D664" w14:textId="77777777" w:rsidR="0093626A" w:rsidRDefault="00000000" w:rsidP="005915A7">
      <w:pPr>
        <w:spacing w:after="0" w:line="360" w:lineRule="auto"/>
        <w:ind w:firstLine="360"/>
        <w:jc w:val="both"/>
        <w:rPr>
          <w:rFonts w:ascii="Arial" w:eastAsia="Arial" w:hAnsi="Arial" w:cs="Arial"/>
          <w:color w:val="000000"/>
          <w:kern w:val="0"/>
          <w:sz w:val="24"/>
          <w:szCs w:val="24"/>
          <w:lang w:val="es-ES"/>
          <w14:ligatures w14:val="none"/>
        </w:rPr>
      </w:pPr>
      <w:r>
        <w:rPr>
          <w:rFonts w:ascii="Arial" w:eastAsia="Arial" w:hAnsi="Arial" w:cs="Arial"/>
          <w:color w:val="000000"/>
          <w:kern w:val="0"/>
          <w:sz w:val="24"/>
          <w:szCs w:val="24"/>
          <w:lang w:val="es-ES"/>
          <w14:ligatures w14:val="none"/>
        </w:rPr>
        <w:t xml:space="preserve">En lo que se relaciona con la institución de destino, la preparación previa de los docentes es primordial para lograr una experiencia positiva. Como lo indica Martínez Rodríguez (2004: 248) “Hay que facilitar a los profesores la adquisición de otros idiomas y facilitar a los profesores familiarizarse con las tradiciones y prácticas culturales de los países de destino...”, con el objetivo de generar expectativas realistas y experiencias en el extranjero más positivas. Para los profesores en el extranjero, la comunicación en un idioma diferente al materno suele ser una de las principales dificultades que se presenta (Frederiksen, 2014), por lo que el dominio del inglés o de la lengua local se vuelve primordial para la adaptación en un contexto cultural distinto. </w:t>
      </w:r>
    </w:p>
    <w:p w14:paraId="0E279991" w14:textId="77777777" w:rsidR="0093626A" w:rsidRDefault="00000000" w:rsidP="005915A7">
      <w:pPr>
        <w:spacing w:after="0" w:line="360" w:lineRule="auto"/>
        <w:ind w:firstLine="360"/>
        <w:jc w:val="both"/>
        <w:rPr>
          <w:rFonts w:ascii="Arial" w:eastAsia="Arial" w:hAnsi="Arial" w:cs="Arial"/>
          <w:color w:val="000000"/>
          <w:kern w:val="0"/>
          <w:sz w:val="24"/>
          <w:szCs w:val="24"/>
          <w:lang w:val="es-ES"/>
          <w14:ligatures w14:val="none"/>
        </w:rPr>
      </w:pPr>
      <w:r>
        <w:rPr>
          <w:rFonts w:ascii="Arial" w:eastAsia="Arial" w:hAnsi="Arial" w:cs="Arial"/>
          <w:color w:val="000000"/>
          <w:kern w:val="0"/>
          <w:sz w:val="24"/>
          <w:szCs w:val="24"/>
          <w:lang w:val="es-ES"/>
          <w14:ligatures w14:val="none"/>
        </w:rPr>
        <w:t xml:space="preserve">Finalmente, se señala que las estancias internacionales suelen manejarse como una experiencia individual y no se logra “...extender el impacto de dicha movilidad a toda la institución y su comunidad” (Bustos-Aguirre, 2022 145). En este sentido, es vital coordinar esfuerzos para que las experiencias en el extranjero permeen en el resto de la institución y no sólo queden como participaciones aisladas con beneficios limitados. </w:t>
      </w:r>
    </w:p>
    <w:p w14:paraId="122E69C4" w14:textId="77777777" w:rsidR="0093626A" w:rsidRDefault="00000000" w:rsidP="005915A7">
      <w:pPr>
        <w:spacing w:after="0" w:line="360" w:lineRule="auto"/>
        <w:ind w:firstLine="357"/>
        <w:jc w:val="both"/>
        <w:rPr>
          <w:rFonts w:ascii="Arial" w:eastAsia="Arial" w:hAnsi="Arial" w:cs="Arial"/>
          <w:kern w:val="0"/>
          <w:sz w:val="24"/>
          <w:szCs w:val="24"/>
          <w:lang w:val="es-ES"/>
          <w14:ligatures w14:val="none"/>
        </w:rPr>
      </w:pPr>
      <w:r>
        <w:rPr>
          <w:rFonts w:ascii="Arial" w:eastAsia="Arial" w:hAnsi="Arial" w:cs="Arial"/>
          <w:color w:val="000000"/>
          <w:kern w:val="0"/>
          <w:sz w:val="24"/>
          <w:szCs w:val="24"/>
          <w:lang w:val="es-ES"/>
          <w14:ligatures w14:val="none"/>
        </w:rPr>
        <w:t xml:space="preserve">La segunda pregunta de investigación planteada para este trabajo tuvo que ver con los principales aprendizajes que obtienen los profesores de las estancias en el extranjero. Al respecto, los participantes expresaron que la experiencia de la preparación y desenvolvimiento de la estancia les facilitó oportunidades para su crecimiento personal y profesional y para formar redes de trabajo, aspectos que, en opinión de </w:t>
      </w:r>
      <w:r>
        <w:rPr>
          <w:rFonts w:ascii="Arial" w:eastAsia="Arial" w:hAnsi="Arial" w:cs="Arial"/>
          <w:kern w:val="0"/>
          <w:sz w:val="24"/>
          <w:szCs w:val="24"/>
          <w:lang w:val="es-ES"/>
          <w14:ligatures w14:val="none"/>
        </w:rPr>
        <w:t xml:space="preserve">García-Gómez et al., 2022, contribuyen al capital social de las universidades. Estos beneficios están identificados desde el inicio del auge de la movilidad, al grado de que la movilidad se ha constituido una herramienta </w:t>
      </w:r>
      <w:r>
        <w:rPr>
          <w:rFonts w:ascii="Arial" w:eastAsia="Arial" w:hAnsi="Arial" w:cs="Arial"/>
          <w:kern w:val="0"/>
          <w:sz w:val="24"/>
          <w:szCs w:val="24"/>
          <w:lang w:val="es-ES"/>
          <w14:ligatures w14:val="none"/>
        </w:rPr>
        <w:lastRenderedPageBreak/>
        <w:t xml:space="preserve">pedagógica por méritos propios (Fernández y Ruzo, 2002), ha representado aportaciones culturales de la convivencia internacional y contribuido al currículum de los involucrados (Kammerer y Carbonell, 2020), además de aportar beneficios para los estudiantes en cuanto a la ampliación cultural de los contenidos y el incremento del prestigio de sus profesores (Gutiérrez-Sánchez et al., 2019). </w:t>
      </w:r>
    </w:p>
    <w:p w14:paraId="199C470B" w14:textId="77777777" w:rsidR="0093626A" w:rsidRDefault="0093626A" w:rsidP="005915A7">
      <w:pPr>
        <w:spacing w:after="0" w:line="360" w:lineRule="auto"/>
        <w:ind w:firstLine="360"/>
        <w:jc w:val="both"/>
        <w:rPr>
          <w:rFonts w:ascii="Arial" w:eastAsia="Arial" w:hAnsi="Arial" w:cs="Arial"/>
          <w:color w:val="000000"/>
          <w:kern w:val="0"/>
          <w:sz w:val="24"/>
          <w:szCs w:val="24"/>
          <w:lang w:val="es-ES"/>
          <w14:ligatures w14:val="none"/>
        </w:rPr>
      </w:pPr>
    </w:p>
    <w:p w14:paraId="1B5E2560" w14:textId="77777777" w:rsidR="0093626A" w:rsidRDefault="00000000" w:rsidP="005915A7">
      <w:pPr>
        <w:spacing w:after="0" w:line="360" w:lineRule="auto"/>
        <w:ind w:firstLine="360"/>
        <w:jc w:val="both"/>
        <w:rPr>
          <w:rFonts w:ascii="Arial" w:eastAsia="Arial" w:hAnsi="Arial" w:cs="Arial"/>
          <w:color w:val="000000"/>
          <w:kern w:val="0"/>
          <w:sz w:val="24"/>
          <w:szCs w:val="24"/>
          <w:lang w:val="es-ES"/>
          <w14:ligatures w14:val="none"/>
        </w:rPr>
      </w:pPr>
      <w:r>
        <w:rPr>
          <w:rFonts w:ascii="Arial" w:eastAsia="Arial" w:hAnsi="Arial" w:cs="Arial"/>
          <w:color w:val="000000"/>
          <w:kern w:val="0"/>
          <w:sz w:val="24"/>
          <w:szCs w:val="24"/>
          <w:lang w:val="es-ES"/>
          <w14:ligatures w14:val="none"/>
        </w:rPr>
        <w:t xml:space="preserve">El primer objetivo era identificar cuáles son los principales retos a los que se enfrentan los profesores interesados en realizar movilidad internacional, tanto dentro de su propia institución como durante su estancia en el extranjero. En este sentido, se mostró que los docentes con experiencias de movilidad expusieron retos relacionados con el idioma, que en algunos casos era distinto al castellano, pero en otros casos representaba retos en cuanto a las formas de expresión, tonos de voz y vocablos específicos. En el caso de una lengua distinta al castellano o al inglés, éste último se empleaba como idioma nexo y ello tenía implicaciones en la efectividad del mensaje entre colegas o hacia los estudiantes. </w:t>
      </w:r>
    </w:p>
    <w:p w14:paraId="05CC8615" w14:textId="77777777" w:rsidR="0093626A" w:rsidRDefault="0093626A" w:rsidP="005915A7">
      <w:pPr>
        <w:spacing w:after="0" w:line="360" w:lineRule="auto"/>
        <w:ind w:firstLine="360"/>
        <w:jc w:val="both"/>
        <w:rPr>
          <w:rFonts w:ascii="Arial" w:eastAsia="Arial" w:hAnsi="Arial" w:cs="Arial"/>
          <w:color w:val="000000"/>
          <w:kern w:val="0"/>
          <w:sz w:val="24"/>
          <w:szCs w:val="24"/>
          <w:lang w:val="es-ES"/>
          <w14:ligatures w14:val="none"/>
        </w:rPr>
      </w:pPr>
    </w:p>
    <w:p w14:paraId="12407B92" w14:textId="77777777" w:rsidR="0093626A" w:rsidRDefault="00000000" w:rsidP="005915A7">
      <w:pPr>
        <w:spacing w:after="0" w:line="360" w:lineRule="auto"/>
        <w:ind w:firstLine="360"/>
        <w:jc w:val="both"/>
        <w:rPr>
          <w:rFonts w:ascii="Arial" w:eastAsia="Arial" w:hAnsi="Arial" w:cs="Arial"/>
          <w:color w:val="000000"/>
          <w:kern w:val="0"/>
          <w:sz w:val="24"/>
          <w:szCs w:val="24"/>
          <w:lang w:val="es-ES"/>
          <w14:ligatures w14:val="none"/>
        </w:rPr>
      </w:pPr>
      <w:r>
        <w:rPr>
          <w:rFonts w:ascii="Arial" w:eastAsia="Arial" w:hAnsi="Arial" w:cs="Arial"/>
          <w:color w:val="000000"/>
          <w:kern w:val="0"/>
          <w:sz w:val="24"/>
          <w:szCs w:val="24"/>
          <w:lang w:val="es-ES"/>
          <w14:ligatures w14:val="none"/>
        </w:rPr>
        <w:t>En cuanto a la cultura, existieron usos sociales distintos a los que ellos tenían, relacionados con las formas de relacionarse, la oferta de ayuda o la disponibilidad para resolver problemas. Al parecer, los docentes tenían algunas expectativas respecto a estos aspectos y manifestaron cierta desazón por no verlas cumplidas, especialmente al tratarse de países como España y Colombia. Este hallazgo resulta muy llamativo puesto que el contexto inmediato es diferenciador de costumbres y relaciones en países que comparten la lengua, variados elementos culturales, tratados comerciales, lazos históricos y relevancia en el concierto global (Criado, 2003, p. 15).</w:t>
      </w:r>
    </w:p>
    <w:p w14:paraId="4ED13C65" w14:textId="77777777" w:rsidR="0093626A" w:rsidRDefault="0093626A" w:rsidP="005915A7">
      <w:pPr>
        <w:spacing w:after="0" w:line="360" w:lineRule="auto"/>
        <w:ind w:firstLine="360"/>
        <w:jc w:val="both"/>
        <w:rPr>
          <w:rFonts w:ascii="Arial" w:eastAsia="Arial" w:hAnsi="Arial" w:cs="Arial"/>
          <w:color w:val="000000"/>
          <w:kern w:val="0"/>
          <w:sz w:val="24"/>
          <w:szCs w:val="24"/>
          <w:lang w:val="es-ES"/>
          <w14:ligatures w14:val="none"/>
        </w:rPr>
      </w:pPr>
    </w:p>
    <w:p w14:paraId="4C06DCE9" w14:textId="77777777" w:rsidR="0093626A" w:rsidRDefault="00000000" w:rsidP="005915A7">
      <w:pPr>
        <w:spacing w:after="0" w:line="360" w:lineRule="auto"/>
        <w:ind w:firstLine="360"/>
        <w:jc w:val="both"/>
        <w:rPr>
          <w:rFonts w:ascii="Arial" w:eastAsia="Arial" w:hAnsi="Arial" w:cs="Arial"/>
          <w:color w:val="000000"/>
          <w:kern w:val="0"/>
          <w:sz w:val="24"/>
          <w:szCs w:val="24"/>
          <w:lang w:val="es-ES"/>
          <w14:ligatures w14:val="none"/>
        </w:rPr>
      </w:pPr>
      <w:r>
        <w:rPr>
          <w:rFonts w:ascii="Arial" w:eastAsia="Arial" w:hAnsi="Arial" w:cs="Arial"/>
          <w:color w:val="000000"/>
          <w:kern w:val="0"/>
          <w:sz w:val="24"/>
          <w:szCs w:val="24"/>
          <w:lang w:val="es-ES"/>
          <w14:ligatures w14:val="none"/>
        </w:rPr>
        <w:t xml:space="preserve">El segundo objetivo fue explorar los aprendizajes de la movilidad de profesores en las universidades pares internacionales y su contribución a la comunidad universitaria. Los participantes destacaron que durante su experiencia conocieron sobre diferentes sistemas de enseñanza que se utilizan en los países de destino, lo que los llevó a adaptar sus propias estrategias o mezclarlas con la planificación que </w:t>
      </w:r>
      <w:r>
        <w:rPr>
          <w:rFonts w:ascii="Arial" w:eastAsia="Arial" w:hAnsi="Arial" w:cs="Arial"/>
          <w:color w:val="000000"/>
          <w:kern w:val="0"/>
          <w:sz w:val="24"/>
          <w:szCs w:val="24"/>
          <w:lang w:val="es-ES"/>
          <w14:ligatures w14:val="none"/>
        </w:rPr>
        <w:lastRenderedPageBreak/>
        <w:t>habían realizado previo a sus sesiones de clase. En el mismo tenor, se señaló la importancia de adaptarse a entornos profesionales distintos, puesto que la cultura laboral y dinámica de comunicación no funcionan de la misma manera que en México. Esto abre la oportunidad de que los profesores se vuelvan embajadores de su institución de origen ejemplo positivo de la cultura académica mexicana, rompiendo con estereotipos y falsas creencias. Igualmente, se mencionó que sus experiencias internacionales les ayudaron a valorar más su propia institución y el acompañamiento que se brinda a los visitantes internacionales, puesto que la hospitalidad y recibimiento hace una gran diferencia en el proceso de adaptación en un contexto distinto o desconocido. Todo ello beneficia a los profesores a nivel personal y profesional, impulsándolos a adaptarse a contextos culturales y lenguas distintas a la propia, expandiendo su visión del mundo y fortaleciendo sus habilidades interculturales (Ospina y Medina, 2020).</w:t>
      </w:r>
    </w:p>
    <w:p w14:paraId="3E55B7E7" w14:textId="77777777" w:rsidR="0093626A" w:rsidRDefault="0093626A" w:rsidP="005915A7">
      <w:pPr>
        <w:spacing w:after="0" w:line="360" w:lineRule="auto"/>
        <w:jc w:val="both"/>
        <w:rPr>
          <w:rFonts w:ascii="Arial" w:eastAsia="Arial" w:hAnsi="Arial" w:cs="Arial"/>
          <w:color w:val="000000"/>
          <w:kern w:val="0"/>
          <w:sz w:val="24"/>
          <w:szCs w:val="24"/>
          <w:lang w:val="es-ES"/>
          <w14:ligatures w14:val="none"/>
        </w:rPr>
      </w:pPr>
    </w:p>
    <w:p w14:paraId="797CE9EA" w14:textId="77777777" w:rsidR="0093626A" w:rsidRDefault="00000000" w:rsidP="005915A7">
      <w:pPr>
        <w:spacing w:line="360" w:lineRule="auto"/>
        <w:jc w:val="both"/>
        <w:rPr>
          <w:rFonts w:ascii="Arial" w:eastAsia="Arial" w:hAnsi="Arial" w:cs="Arial"/>
          <w:b/>
          <w:bCs/>
          <w:kern w:val="0"/>
          <w:sz w:val="24"/>
          <w:szCs w:val="24"/>
          <w:lang w:val="es-ES"/>
          <w14:ligatures w14:val="none"/>
        </w:rPr>
      </w:pPr>
      <w:r>
        <w:rPr>
          <w:rFonts w:ascii="Arial" w:eastAsia="Arial" w:hAnsi="Arial" w:cs="Arial"/>
          <w:b/>
          <w:bCs/>
          <w:kern w:val="0"/>
          <w:sz w:val="24"/>
          <w:szCs w:val="24"/>
          <w:lang w:val="es-ES"/>
          <w14:ligatures w14:val="none"/>
        </w:rPr>
        <w:t>CONCLUSIONES</w:t>
      </w:r>
    </w:p>
    <w:p w14:paraId="48269D69" w14:textId="77777777" w:rsidR="0093626A" w:rsidRDefault="00000000" w:rsidP="005915A7">
      <w:pPr>
        <w:spacing w:line="360" w:lineRule="auto"/>
        <w:jc w:val="both"/>
        <w:rPr>
          <w:rFonts w:ascii="Arial" w:eastAsia="Arial" w:hAnsi="Arial" w:cs="Arial"/>
          <w:kern w:val="0"/>
          <w:sz w:val="24"/>
          <w:szCs w:val="24"/>
          <w:lang w:val="es-ES"/>
          <w14:ligatures w14:val="none"/>
        </w:rPr>
      </w:pPr>
      <w:r>
        <w:rPr>
          <w:rFonts w:ascii="Arial" w:eastAsia="Arial" w:hAnsi="Arial" w:cs="Arial"/>
          <w:kern w:val="0"/>
          <w:sz w:val="24"/>
          <w:szCs w:val="24"/>
          <w:lang w:val="es-ES"/>
          <w14:ligatures w14:val="none"/>
        </w:rPr>
        <w:t>Las estancias de los participantes fueron en diferentes instituciones y duraron diferentes periodos de tiempo. Los principales retos mencionados incluyeron barreras administrativas, diferencias culturales, el idioma y la adaptación a nuevas metodologías y formas de enseñanza. Sin embargo, también destacaron los beneficios de generar conocimiento, traer nuevas metodologías a sus instituciones y motivar a sus alumnos. Todos coincidieron en que las experiencias en el extranjero son enriquecedoras a nivel personal y académico.</w:t>
      </w:r>
      <w:r w:rsidRPr="00634580">
        <w:rPr>
          <w:rFonts w:ascii="Arial" w:eastAsia="MS Gothic" w:hAnsi="Arial" w:cs="Arial"/>
          <w:kern w:val="0"/>
          <w:sz w:val="24"/>
          <w:szCs w:val="24"/>
          <w:lang w:val="es-ES"/>
          <w14:ligatures w14:val="none"/>
        </w:rPr>
        <w:t> </w:t>
      </w:r>
      <w:r>
        <w:rPr>
          <w:rFonts w:ascii="Arial" w:eastAsia="Arial" w:hAnsi="Arial" w:cs="Arial"/>
          <w:kern w:val="0"/>
          <w:sz w:val="24"/>
          <w:szCs w:val="24"/>
          <w:lang w:val="es-ES"/>
          <w14:ligatures w14:val="none"/>
        </w:rPr>
        <w:t xml:space="preserve">En resumen, las personas consideraron necesario agilizar y hacer más amigables los procesos internos de la institución, como la revisión de convenios. Además, sugirieron difundir más actividades de intercambio académico para motivar a los estudiantes y ayudarles a salir de la pandemia psicológicamente. Una propuesta relevante fue la de establecer más convenios y lazos de investigación, incorporar a programas de posgrado, ofrecer estímulos económicos y convocatorias para facilitar las estancias y habilitar cursos en el extranjero de manera más continua. </w:t>
      </w:r>
    </w:p>
    <w:p w14:paraId="692774A9" w14:textId="77777777" w:rsidR="00D65DB2" w:rsidRDefault="00D65DB2" w:rsidP="005915A7">
      <w:pPr>
        <w:spacing w:line="360" w:lineRule="auto"/>
        <w:jc w:val="both"/>
        <w:rPr>
          <w:rFonts w:ascii="Arial" w:eastAsia="Arial" w:hAnsi="Arial" w:cs="Arial"/>
          <w:b/>
          <w:bCs/>
          <w:kern w:val="0"/>
          <w:sz w:val="24"/>
          <w:szCs w:val="24"/>
          <w:lang w:val="es-ES"/>
          <w14:ligatures w14:val="none"/>
        </w:rPr>
      </w:pPr>
    </w:p>
    <w:p w14:paraId="0C719219" w14:textId="24624616" w:rsidR="0093626A" w:rsidRDefault="00000000" w:rsidP="005915A7">
      <w:pPr>
        <w:spacing w:line="360" w:lineRule="auto"/>
        <w:jc w:val="both"/>
        <w:rPr>
          <w:rFonts w:ascii="Arial" w:eastAsia="Arial" w:hAnsi="Arial" w:cs="Arial"/>
          <w:b/>
          <w:bCs/>
          <w:kern w:val="0"/>
          <w:sz w:val="24"/>
          <w:szCs w:val="24"/>
          <w:lang w:val="es-ES"/>
          <w14:ligatures w14:val="none"/>
        </w:rPr>
      </w:pPr>
      <w:r>
        <w:rPr>
          <w:rFonts w:ascii="Arial" w:eastAsia="Arial" w:hAnsi="Arial" w:cs="Arial"/>
          <w:b/>
          <w:bCs/>
          <w:kern w:val="0"/>
          <w:sz w:val="24"/>
          <w:szCs w:val="24"/>
          <w:lang w:val="es-ES"/>
          <w14:ligatures w14:val="none"/>
        </w:rPr>
        <w:lastRenderedPageBreak/>
        <w:t>Agradecimiento</w:t>
      </w:r>
    </w:p>
    <w:p w14:paraId="7BFE9176" w14:textId="77777777" w:rsidR="0093626A" w:rsidRDefault="00000000" w:rsidP="005915A7">
      <w:pPr>
        <w:spacing w:line="360" w:lineRule="auto"/>
        <w:jc w:val="both"/>
        <w:rPr>
          <w:rFonts w:ascii="Arial" w:eastAsia="Arial" w:hAnsi="Arial" w:cs="Arial"/>
          <w:kern w:val="0"/>
          <w:sz w:val="24"/>
          <w:szCs w:val="24"/>
          <w:lang w:val="es-ES"/>
          <w14:ligatures w14:val="none"/>
        </w:rPr>
      </w:pPr>
      <w:r>
        <w:rPr>
          <w:rFonts w:ascii="Arial" w:eastAsia="Arial" w:hAnsi="Arial" w:cs="Arial"/>
          <w:kern w:val="0"/>
          <w:sz w:val="24"/>
          <w:szCs w:val="24"/>
          <w:lang w:val="es-ES"/>
          <w14:ligatures w14:val="none"/>
        </w:rPr>
        <w:t xml:space="preserve">A Melissa Veyna Rodríguez, egresada del programa de Comunicación de la Universidad Autónoma de Guadalajara por sus aportaciones al presente trabajo. </w:t>
      </w:r>
    </w:p>
    <w:p w14:paraId="0980AAEA" w14:textId="77777777" w:rsidR="0093626A" w:rsidRPr="00634580" w:rsidRDefault="00000000" w:rsidP="005915A7">
      <w:pPr>
        <w:spacing w:line="360" w:lineRule="auto"/>
        <w:jc w:val="both"/>
        <w:rPr>
          <w:rFonts w:ascii="Arial" w:eastAsia="Arial" w:hAnsi="Arial" w:cs="Arial"/>
          <w:b/>
          <w:bCs/>
          <w:color w:val="000000"/>
          <w:kern w:val="0"/>
          <w:sz w:val="24"/>
          <w:szCs w:val="24"/>
          <w:lang w:val="en-US"/>
          <w14:ligatures w14:val="none"/>
        </w:rPr>
      </w:pPr>
      <w:r w:rsidRPr="00634580">
        <w:rPr>
          <w:rFonts w:ascii="Arial" w:eastAsia="Arial" w:hAnsi="Arial" w:cs="Arial"/>
          <w:b/>
          <w:bCs/>
          <w:color w:val="000000"/>
          <w:kern w:val="0"/>
          <w:sz w:val="24"/>
          <w:szCs w:val="24"/>
          <w:lang w:val="en-US"/>
          <w14:ligatures w14:val="none"/>
        </w:rPr>
        <w:t>Referencias</w:t>
      </w:r>
    </w:p>
    <w:p w14:paraId="28298A3B" w14:textId="77777777" w:rsidR="0093626A" w:rsidRPr="00634580" w:rsidRDefault="00000000" w:rsidP="00634580">
      <w:pPr>
        <w:spacing w:after="0" w:line="360" w:lineRule="auto"/>
        <w:ind w:left="357" w:hanging="357"/>
        <w:jc w:val="both"/>
        <w:rPr>
          <w:rFonts w:ascii="Arial" w:eastAsia="Arial Unicode MS" w:hAnsi="Arial" w:cs="Arial"/>
          <w:kern w:val="0"/>
          <w:sz w:val="24"/>
          <w:szCs w:val="24"/>
          <w14:ligatures w14:val="none"/>
        </w:rPr>
      </w:pPr>
      <w:r w:rsidRPr="00634580">
        <w:rPr>
          <w:rFonts w:ascii="Arial" w:eastAsia="Arial" w:hAnsi="Arial" w:cs="Arial"/>
          <w:color w:val="000000"/>
          <w:kern w:val="0"/>
          <w:sz w:val="24"/>
          <w:szCs w:val="24"/>
          <w:lang w:val="en-US"/>
          <w14:ligatures w14:val="none"/>
        </w:rPr>
        <w:t xml:space="preserve">Altbach, P. G., &amp; Knight, J. (2006). </w:t>
      </w:r>
      <w:r w:rsidRPr="00634580">
        <w:rPr>
          <w:rFonts w:ascii="Arial" w:eastAsia="Arial" w:hAnsi="Arial" w:cs="Arial"/>
          <w:color w:val="000000"/>
          <w:kern w:val="0"/>
          <w:sz w:val="24"/>
          <w:szCs w:val="24"/>
          <w:lang w:val="es-ES"/>
          <w14:ligatures w14:val="none"/>
        </w:rPr>
        <w:t xml:space="preserve">Visión panorámica de la internacionalización en la educación superior: motivaciones y realidades. </w:t>
      </w:r>
      <w:r w:rsidRPr="00634580">
        <w:rPr>
          <w:rFonts w:ascii="Arial" w:eastAsia="Arial" w:hAnsi="Arial" w:cs="Arial"/>
          <w:i/>
          <w:iCs/>
          <w:color w:val="000000"/>
          <w:kern w:val="0"/>
          <w:sz w:val="24"/>
          <w:szCs w:val="24"/>
          <w:lang w:val="es-ES"/>
          <w14:ligatures w14:val="none"/>
        </w:rPr>
        <w:t>Perfiles educativos</w:t>
      </w:r>
      <w:r w:rsidRPr="00634580">
        <w:rPr>
          <w:rFonts w:ascii="Arial" w:eastAsia="Arial" w:hAnsi="Arial" w:cs="Arial"/>
          <w:color w:val="000000"/>
          <w:kern w:val="0"/>
          <w:sz w:val="24"/>
          <w:szCs w:val="24"/>
          <w:lang w:val="es-ES"/>
          <w14:ligatures w14:val="none"/>
        </w:rPr>
        <w:t>, 28(112), 13-39.</w:t>
      </w:r>
    </w:p>
    <w:p w14:paraId="5CA8CE40" w14:textId="77777777" w:rsidR="0093626A" w:rsidRPr="00634580" w:rsidRDefault="00000000" w:rsidP="00634580">
      <w:pPr>
        <w:spacing w:after="0" w:line="360" w:lineRule="auto"/>
        <w:ind w:left="357" w:hanging="357"/>
        <w:jc w:val="both"/>
        <w:rPr>
          <w:rFonts w:ascii="Arial" w:eastAsia="Arial Unicode MS" w:hAnsi="Arial" w:cs="Arial"/>
          <w:kern w:val="0"/>
          <w:sz w:val="24"/>
          <w:szCs w:val="24"/>
          <w14:ligatures w14:val="none"/>
        </w:rPr>
      </w:pPr>
      <w:r w:rsidRPr="00634580">
        <w:rPr>
          <w:rFonts w:ascii="Arial" w:eastAsia="Arial" w:hAnsi="Arial" w:cs="Arial"/>
          <w:color w:val="000000"/>
          <w:kern w:val="0"/>
          <w:sz w:val="24"/>
          <w:szCs w:val="24"/>
          <w:lang w:val="es-ES"/>
          <w14:ligatures w14:val="none"/>
        </w:rPr>
        <w:t xml:space="preserve"> </w:t>
      </w:r>
    </w:p>
    <w:p w14:paraId="52FD5EC4" w14:textId="77777777" w:rsidR="0093626A" w:rsidRPr="00634580" w:rsidRDefault="00000000" w:rsidP="00634580">
      <w:pPr>
        <w:spacing w:after="0" w:line="360" w:lineRule="auto"/>
        <w:ind w:left="357" w:hanging="357"/>
        <w:jc w:val="both"/>
        <w:rPr>
          <w:rFonts w:ascii="Arial" w:eastAsia="Arial Unicode MS" w:hAnsi="Arial" w:cs="Arial"/>
          <w:kern w:val="0"/>
          <w:sz w:val="24"/>
          <w:szCs w:val="24"/>
          <w14:ligatures w14:val="none"/>
        </w:rPr>
      </w:pPr>
      <w:r w:rsidRPr="00634580">
        <w:rPr>
          <w:rFonts w:ascii="Arial" w:eastAsia="Arial" w:hAnsi="Arial" w:cs="Arial"/>
          <w:color w:val="000000"/>
          <w:kern w:val="0"/>
          <w:sz w:val="24"/>
          <w:szCs w:val="24"/>
          <w:lang w:val="es-ES"/>
          <w14:ligatures w14:val="none"/>
        </w:rPr>
        <w:t xml:space="preserve">Asociación Universitaria Iberoamericana de </w:t>
      </w:r>
      <w:r w:rsidRPr="00634580">
        <w:rPr>
          <w:rFonts w:ascii="Arial" w:eastAsia="Arial Unicode MS" w:hAnsi="Arial" w:cs="Arial"/>
          <w:kern w:val="0"/>
          <w:sz w:val="24"/>
          <w:szCs w:val="24"/>
          <w14:ligatures w14:val="none"/>
        </w:rPr>
        <w:tab/>
      </w:r>
      <w:r w:rsidRPr="00634580">
        <w:rPr>
          <w:rFonts w:ascii="Arial" w:eastAsia="Arial" w:hAnsi="Arial" w:cs="Arial"/>
          <w:color w:val="000000"/>
          <w:kern w:val="0"/>
          <w:sz w:val="24"/>
          <w:szCs w:val="24"/>
          <w:lang w:val="es-ES"/>
          <w14:ligatures w14:val="none"/>
        </w:rPr>
        <w:t xml:space="preserve">Postgrado. (2023). Becas AUIP: Convocatorias Abiertas. Disponible en: </w:t>
      </w:r>
      <w:hyperlink r:id="rId18">
        <w:r w:rsidRPr="00634580">
          <w:rPr>
            <w:rFonts w:ascii="Arial" w:eastAsia="Arial" w:hAnsi="Arial" w:cs="Arial"/>
            <w:color w:val="000000"/>
            <w:kern w:val="0"/>
            <w:sz w:val="24"/>
            <w:szCs w:val="24"/>
            <w:u w:val="single"/>
            <w:lang w:val="es-ES"/>
            <w14:ligatures w14:val="none"/>
          </w:rPr>
          <w:t>https://www.auip.org/es/becasauip</w:t>
        </w:r>
      </w:hyperlink>
      <w:r w:rsidRPr="00634580">
        <w:rPr>
          <w:rFonts w:ascii="Arial" w:eastAsia="Arial" w:hAnsi="Arial" w:cs="Arial"/>
          <w:color w:val="000000"/>
          <w:kern w:val="0"/>
          <w:sz w:val="24"/>
          <w:szCs w:val="24"/>
          <w:lang w:val="es-ES"/>
          <w14:ligatures w14:val="none"/>
        </w:rPr>
        <w:t xml:space="preserve">  </w:t>
      </w:r>
    </w:p>
    <w:p w14:paraId="5D296629" w14:textId="77777777" w:rsidR="0093626A" w:rsidRPr="00634580" w:rsidRDefault="0093626A" w:rsidP="00634580">
      <w:pPr>
        <w:spacing w:after="0" w:line="360" w:lineRule="auto"/>
        <w:ind w:left="357" w:hanging="357"/>
        <w:jc w:val="both"/>
        <w:rPr>
          <w:rFonts w:ascii="Arial" w:eastAsia="Arial" w:hAnsi="Arial" w:cs="Arial"/>
          <w:color w:val="000000"/>
          <w:kern w:val="0"/>
          <w:sz w:val="24"/>
          <w:szCs w:val="24"/>
          <w:lang w:val="es-ES"/>
          <w14:ligatures w14:val="none"/>
        </w:rPr>
      </w:pPr>
    </w:p>
    <w:p w14:paraId="18410E62" w14:textId="53A77296" w:rsidR="0093626A" w:rsidRPr="00634580" w:rsidRDefault="00000000" w:rsidP="00634580">
      <w:pPr>
        <w:spacing w:after="0" w:line="360" w:lineRule="auto"/>
        <w:ind w:left="357" w:hanging="357"/>
        <w:jc w:val="both"/>
        <w:rPr>
          <w:rFonts w:ascii="Arial" w:eastAsia="Arial Unicode MS" w:hAnsi="Arial" w:cs="Arial"/>
          <w:kern w:val="0"/>
          <w:sz w:val="24"/>
          <w:szCs w:val="24"/>
          <w14:ligatures w14:val="none"/>
        </w:rPr>
      </w:pPr>
      <w:r w:rsidRPr="00634580">
        <w:rPr>
          <w:rFonts w:ascii="Arial" w:eastAsia="Arial" w:hAnsi="Arial" w:cs="Arial"/>
          <w:color w:val="000000"/>
          <w:kern w:val="0"/>
          <w:sz w:val="24"/>
          <w:szCs w:val="24"/>
          <w:lang w:val="es-ES"/>
          <w14:ligatures w14:val="none"/>
        </w:rPr>
        <w:t xml:space="preserve">Bonal, X. (2009). La educación en tiempos de globalización: ¿quién se </w:t>
      </w:r>
      <w:r w:rsidR="00456D5C" w:rsidRPr="00456D5C">
        <w:rPr>
          <w:rFonts w:ascii="Arial" w:eastAsia="Arial" w:hAnsi="Arial" w:cs="Arial"/>
          <w:color w:val="000000"/>
          <w:kern w:val="0"/>
          <w:sz w:val="24"/>
          <w:szCs w:val="24"/>
          <w:lang w:val="es-ES"/>
          <w14:ligatures w14:val="none"/>
        </w:rPr>
        <w:t>beneficia?</w:t>
      </w:r>
      <w:r w:rsidRPr="00634580">
        <w:rPr>
          <w:rFonts w:ascii="Arial" w:eastAsia="Arial" w:hAnsi="Arial" w:cs="Arial"/>
          <w:color w:val="000000"/>
          <w:kern w:val="0"/>
          <w:sz w:val="24"/>
          <w:szCs w:val="24"/>
          <w:lang w:val="es-ES"/>
          <w14:ligatures w14:val="none"/>
        </w:rPr>
        <w:t xml:space="preserve"> </w:t>
      </w:r>
      <w:r w:rsidRPr="00634580">
        <w:rPr>
          <w:rFonts w:ascii="Arial" w:eastAsia="Arial" w:hAnsi="Arial" w:cs="Arial"/>
          <w:i/>
          <w:iCs/>
          <w:color w:val="000000"/>
          <w:kern w:val="0"/>
          <w:sz w:val="24"/>
          <w:szCs w:val="24"/>
          <w:lang w:val="es-ES"/>
          <w14:ligatures w14:val="none"/>
        </w:rPr>
        <w:t>Educação &amp; sociedade</w:t>
      </w:r>
      <w:r w:rsidRPr="00634580">
        <w:rPr>
          <w:rFonts w:ascii="Arial" w:eastAsia="Arial" w:hAnsi="Arial" w:cs="Arial"/>
          <w:color w:val="000000"/>
          <w:kern w:val="0"/>
          <w:sz w:val="24"/>
          <w:szCs w:val="24"/>
          <w:lang w:val="es-ES"/>
          <w14:ligatures w14:val="none"/>
        </w:rPr>
        <w:t xml:space="preserve">, </w:t>
      </w:r>
      <w:r w:rsidRPr="00634580">
        <w:rPr>
          <w:rFonts w:ascii="Arial" w:eastAsia="Arial" w:hAnsi="Arial" w:cs="Arial"/>
          <w:i/>
          <w:iCs/>
          <w:color w:val="000000"/>
          <w:kern w:val="0"/>
          <w:sz w:val="24"/>
          <w:szCs w:val="24"/>
          <w:lang w:val="es-ES"/>
          <w14:ligatures w14:val="none"/>
        </w:rPr>
        <w:t>30</w:t>
      </w:r>
      <w:r w:rsidRPr="00634580">
        <w:rPr>
          <w:rFonts w:ascii="Arial" w:eastAsia="Arial" w:hAnsi="Arial" w:cs="Arial"/>
          <w:color w:val="000000"/>
          <w:kern w:val="0"/>
          <w:sz w:val="24"/>
          <w:szCs w:val="24"/>
          <w:lang w:val="es-ES"/>
          <w14:ligatures w14:val="none"/>
        </w:rPr>
        <w:t xml:space="preserve">, 653-671. </w:t>
      </w:r>
      <w:hyperlink r:id="rId19">
        <w:r w:rsidRPr="00634580">
          <w:rPr>
            <w:rFonts w:ascii="Arial" w:eastAsia="Arial" w:hAnsi="Arial" w:cs="Arial"/>
            <w:color w:val="000000"/>
            <w:kern w:val="0"/>
            <w:sz w:val="24"/>
            <w:szCs w:val="24"/>
            <w:u w:val="single"/>
            <w:lang w:val="es-ES"/>
            <w14:ligatures w14:val="none"/>
          </w:rPr>
          <w:t>https://doi.org/10.1590/S0101-73302009000300002</w:t>
        </w:r>
      </w:hyperlink>
    </w:p>
    <w:p w14:paraId="12D19720" w14:textId="77777777" w:rsidR="0093626A" w:rsidRPr="00634580" w:rsidRDefault="0093626A" w:rsidP="00634580">
      <w:pPr>
        <w:spacing w:after="0" w:line="360" w:lineRule="auto"/>
        <w:ind w:left="357" w:hanging="357"/>
        <w:jc w:val="both"/>
        <w:rPr>
          <w:rFonts w:ascii="Arial" w:eastAsia="Arial" w:hAnsi="Arial" w:cs="Arial"/>
          <w:color w:val="000000"/>
          <w:kern w:val="0"/>
          <w:sz w:val="24"/>
          <w:szCs w:val="24"/>
          <w:lang w:val="es-ES"/>
          <w14:ligatures w14:val="none"/>
        </w:rPr>
      </w:pPr>
    </w:p>
    <w:p w14:paraId="0D9F7215" w14:textId="77777777" w:rsidR="0093626A" w:rsidRPr="00634580" w:rsidRDefault="00000000" w:rsidP="00634580">
      <w:pPr>
        <w:spacing w:after="0" w:line="360" w:lineRule="auto"/>
        <w:ind w:left="357" w:hanging="357"/>
        <w:jc w:val="both"/>
        <w:rPr>
          <w:rFonts w:ascii="Arial" w:eastAsia="Arial" w:hAnsi="Arial" w:cs="Arial"/>
          <w:color w:val="222222"/>
          <w:kern w:val="0"/>
          <w:sz w:val="24"/>
          <w:szCs w:val="24"/>
          <w:lang w:val="es-ES"/>
          <w14:ligatures w14:val="none"/>
        </w:rPr>
      </w:pPr>
      <w:r w:rsidRPr="00634580">
        <w:rPr>
          <w:rFonts w:ascii="Arial" w:eastAsia="Arial" w:hAnsi="Arial" w:cs="Arial"/>
          <w:color w:val="000000"/>
          <w:kern w:val="0"/>
          <w:sz w:val="24"/>
          <w:szCs w:val="24"/>
          <w:lang w:val="es-ES"/>
          <w14:ligatures w14:val="none"/>
        </w:rPr>
        <w:t xml:space="preserve">Bustos-Aguirre, Magdalena L. (2019). la gestión de la movilidad internacional en las instituciones de educación superior. En Gacel-Ávila (Ed.) Guía de fundamentos para la gestión de las estrategias de internacionalización de la educación superior en América Latina y el Caribe. (pp.145-168). Universidad de Guadalajara. </w:t>
      </w:r>
    </w:p>
    <w:p w14:paraId="38E83FBC" w14:textId="77777777" w:rsidR="0093626A" w:rsidRPr="00634580" w:rsidRDefault="0093626A" w:rsidP="00634580">
      <w:pPr>
        <w:spacing w:after="0" w:line="360" w:lineRule="auto"/>
        <w:ind w:left="357" w:hanging="357"/>
        <w:jc w:val="both"/>
        <w:rPr>
          <w:rFonts w:ascii="Arial" w:eastAsia="Arial" w:hAnsi="Arial" w:cs="Arial"/>
          <w:color w:val="000000"/>
          <w:kern w:val="0"/>
          <w:sz w:val="24"/>
          <w:szCs w:val="24"/>
          <w:lang w:val="es-ES"/>
          <w14:ligatures w14:val="none"/>
        </w:rPr>
      </w:pPr>
    </w:p>
    <w:p w14:paraId="40E1DA4D" w14:textId="77777777" w:rsidR="0093626A" w:rsidRPr="00634580" w:rsidRDefault="00000000" w:rsidP="00634580">
      <w:pPr>
        <w:spacing w:after="0" w:line="360" w:lineRule="auto"/>
        <w:ind w:left="357" w:hanging="357"/>
        <w:jc w:val="both"/>
        <w:rPr>
          <w:rFonts w:ascii="Arial" w:eastAsia="Arial" w:hAnsi="Arial" w:cs="Arial"/>
          <w:color w:val="222222"/>
          <w:kern w:val="0"/>
          <w:sz w:val="24"/>
          <w:szCs w:val="24"/>
          <w:lang w:val="es-ES"/>
          <w14:ligatures w14:val="none"/>
        </w:rPr>
      </w:pPr>
      <w:r w:rsidRPr="00634580">
        <w:rPr>
          <w:rFonts w:ascii="Arial" w:eastAsia="Arial" w:hAnsi="Arial" w:cs="Arial"/>
          <w:color w:val="000000"/>
          <w:kern w:val="0"/>
          <w:sz w:val="24"/>
          <w:szCs w:val="24"/>
          <w:lang w:val="es-ES"/>
          <w14:ligatures w14:val="none"/>
        </w:rPr>
        <w:t xml:space="preserve">Casimiro Urcos W.H., Casimiro Urcos C.N y Casimiro Urcos, J.F. </w:t>
      </w:r>
      <w:r w:rsidRPr="00634580">
        <w:rPr>
          <w:rFonts w:ascii="Arial" w:eastAsia="Arial" w:hAnsi="Arial" w:cs="Arial"/>
          <w:color w:val="222222"/>
          <w:kern w:val="0"/>
          <w:sz w:val="24"/>
          <w:szCs w:val="24"/>
          <w:lang w:val="es-ES"/>
          <w14:ligatures w14:val="none"/>
        </w:rPr>
        <w:t xml:space="preserve"> (2017). Apropiación de dinámicas de investigación en docentes universitarios. Un estudio fenomenológico. </w:t>
      </w:r>
      <w:r w:rsidRPr="00634580">
        <w:rPr>
          <w:rFonts w:ascii="Arial" w:eastAsia="Arial" w:hAnsi="Arial" w:cs="Arial"/>
          <w:i/>
          <w:iCs/>
          <w:color w:val="222222"/>
          <w:kern w:val="0"/>
          <w:sz w:val="24"/>
          <w:szCs w:val="24"/>
          <w:lang w:val="es-ES"/>
          <w14:ligatures w14:val="none"/>
        </w:rPr>
        <w:t>Opción: Revista de Ciencias Humanas y Sociales</w:t>
      </w:r>
      <w:r w:rsidRPr="00634580">
        <w:rPr>
          <w:rFonts w:ascii="Arial" w:eastAsia="Arial" w:hAnsi="Arial" w:cs="Arial"/>
          <w:color w:val="222222"/>
          <w:kern w:val="0"/>
          <w:sz w:val="24"/>
          <w:szCs w:val="24"/>
          <w:lang w:val="es-ES"/>
          <w14:ligatures w14:val="none"/>
        </w:rPr>
        <w:t xml:space="preserve">, (83), 336-372. </w:t>
      </w:r>
      <w:hyperlink r:id="rId20">
        <w:r w:rsidRPr="00634580">
          <w:rPr>
            <w:rFonts w:ascii="Arial" w:eastAsia="Arial" w:hAnsi="Arial" w:cs="Arial"/>
            <w:color w:val="222222"/>
            <w:kern w:val="0"/>
            <w:sz w:val="24"/>
            <w:szCs w:val="24"/>
            <w:u w:val="single"/>
            <w:lang w:val="es-ES"/>
            <w14:ligatures w14:val="none"/>
          </w:rPr>
          <w:t>https://dialnet.unirioja.es/servlet/articulo?codigo=6228341</w:t>
        </w:r>
      </w:hyperlink>
    </w:p>
    <w:p w14:paraId="33808EFF" w14:textId="77777777" w:rsidR="0093626A" w:rsidRPr="00634580" w:rsidRDefault="0093626A" w:rsidP="00634580">
      <w:pPr>
        <w:spacing w:after="0" w:line="360" w:lineRule="auto"/>
        <w:ind w:left="357" w:hanging="357"/>
        <w:jc w:val="both"/>
        <w:rPr>
          <w:rFonts w:ascii="Arial" w:eastAsia="Arial" w:hAnsi="Arial" w:cs="Arial"/>
          <w:color w:val="222222"/>
          <w:kern w:val="0"/>
          <w:sz w:val="24"/>
          <w:szCs w:val="24"/>
          <w:lang w:val="es-ES"/>
          <w14:ligatures w14:val="none"/>
        </w:rPr>
      </w:pPr>
    </w:p>
    <w:p w14:paraId="65FA8A00" w14:textId="77777777" w:rsidR="0093626A" w:rsidRPr="00634580" w:rsidRDefault="00000000" w:rsidP="00634580">
      <w:pPr>
        <w:spacing w:after="0" w:line="360" w:lineRule="auto"/>
        <w:ind w:left="720" w:hanging="720"/>
        <w:jc w:val="both"/>
        <w:rPr>
          <w:rFonts w:ascii="Arial" w:eastAsia="Arial" w:hAnsi="Arial" w:cs="Arial"/>
          <w:kern w:val="0"/>
          <w:sz w:val="24"/>
          <w:szCs w:val="24"/>
          <w:lang w:val="es-ES"/>
          <w14:ligatures w14:val="none"/>
        </w:rPr>
      </w:pPr>
      <w:r w:rsidRPr="00634580">
        <w:rPr>
          <w:rFonts w:ascii="Arial" w:eastAsia="Arial" w:hAnsi="Arial" w:cs="Arial"/>
          <w:kern w:val="0"/>
          <w:sz w:val="24"/>
          <w:szCs w:val="24"/>
          <w:lang w:val="es-ES"/>
          <w14:ligatures w14:val="none"/>
        </w:rPr>
        <w:t xml:space="preserve">Corona-Figueroa B.A. y Campos-Tapia A.P (2022). Reflexiones sobre la normalidad en tiempos de pandemia en </w:t>
      </w:r>
      <w:r w:rsidRPr="00634580">
        <w:rPr>
          <w:rFonts w:ascii="Arial" w:eastAsia="Arial" w:hAnsi="Arial" w:cs="Arial"/>
          <w:i/>
          <w:iCs/>
          <w:kern w:val="0"/>
          <w:sz w:val="24"/>
          <w:szCs w:val="24"/>
          <w:lang w:val="es-ES"/>
          <w14:ligatures w14:val="none"/>
        </w:rPr>
        <w:t xml:space="preserve">Disrupción en las Ciencias Sociales y sus oportunidades ante la crisis sanitaria por COVID-19. </w:t>
      </w:r>
      <w:r w:rsidRPr="00634580">
        <w:rPr>
          <w:rFonts w:ascii="Arial" w:eastAsia="Arial" w:hAnsi="Arial" w:cs="Arial"/>
          <w:kern w:val="0"/>
          <w:sz w:val="24"/>
          <w:szCs w:val="24"/>
          <w:lang w:val="es-ES"/>
          <w14:ligatures w14:val="none"/>
        </w:rPr>
        <w:t xml:space="preserve">Editorial Folia. </w:t>
      </w:r>
    </w:p>
    <w:p w14:paraId="578D1923" w14:textId="77777777" w:rsidR="0093626A" w:rsidRPr="00634580" w:rsidRDefault="0093626A" w:rsidP="00634580">
      <w:pPr>
        <w:spacing w:after="0" w:line="360" w:lineRule="auto"/>
        <w:ind w:left="720" w:hanging="720"/>
        <w:jc w:val="both"/>
        <w:rPr>
          <w:rFonts w:ascii="Arial" w:eastAsia="Arial" w:hAnsi="Arial" w:cs="Arial"/>
          <w:kern w:val="0"/>
          <w:sz w:val="24"/>
          <w:szCs w:val="24"/>
          <w:lang w:val="es-ES"/>
          <w14:ligatures w14:val="none"/>
        </w:rPr>
      </w:pPr>
    </w:p>
    <w:p w14:paraId="5B0A2636" w14:textId="77777777" w:rsidR="0093626A" w:rsidRPr="00634580" w:rsidRDefault="00000000" w:rsidP="00634580">
      <w:pPr>
        <w:spacing w:after="0" w:line="360" w:lineRule="auto"/>
        <w:ind w:left="720" w:hanging="720"/>
        <w:jc w:val="both"/>
        <w:rPr>
          <w:rFonts w:ascii="Arial" w:eastAsia="Arial" w:hAnsi="Arial" w:cs="Arial"/>
          <w:kern w:val="0"/>
          <w:sz w:val="24"/>
          <w:szCs w:val="24"/>
          <w:lang w:val="es-ES"/>
          <w14:ligatures w14:val="none"/>
        </w:rPr>
      </w:pPr>
      <w:r w:rsidRPr="00634580">
        <w:rPr>
          <w:rFonts w:ascii="Arial" w:eastAsia="Arial" w:hAnsi="Arial" w:cs="Arial"/>
          <w:color w:val="222222"/>
          <w:kern w:val="0"/>
          <w:sz w:val="24"/>
          <w:szCs w:val="24"/>
          <w:lang w:val="es-ES"/>
          <w14:ligatures w14:val="none"/>
        </w:rPr>
        <w:lastRenderedPageBreak/>
        <w:t xml:space="preserve">Criado, E. A. (2003). </w:t>
      </w:r>
      <w:r w:rsidRPr="00634580">
        <w:rPr>
          <w:rFonts w:ascii="Arial" w:eastAsia="Arial" w:hAnsi="Arial" w:cs="Arial"/>
          <w:i/>
          <w:iCs/>
          <w:color w:val="222222"/>
          <w:kern w:val="0"/>
          <w:sz w:val="24"/>
          <w:szCs w:val="24"/>
          <w:lang w:val="es-ES"/>
          <w14:ligatures w14:val="none"/>
        </w:rPr>
        <w:t>Las expresiones locales de la globalización: México y España</w:t>
      </w:r>
      <w:r w:rsidRPr="00634580">
        <w:rPr>
          <w:rFonts w:ascii="Arial" w:eastAsia="Arial" w:hAnsi="Arial" w:cs="Arial"/>
          <w:color w:val="222222"/>
          <w:kern w:val="0"/>
          <w:sz w:val="24"/>
          <w:szCs w:val="24"/>
          <w:lang w:val="es-ES"/>
          <w14:ligatures w14:val="none"/>
        </w:rPr>
        <w:t>. Ciesas.</w:t>
      </w:r>
    </w:p>
    <w:p w14:paraId="2F68BEEF" w14:textId="77777777" w:rsidR="0093626A" w:rsidRPr="00634580" w:rsidRDefault="0093626A" w:rsidP="00634580">
      <w:pPr>
        <w:spacing w:after="0" w:line="360" w:lineRule="auto"/>
        <w:ind w:left="357" w:hanging="720"/>
        <w:jc w:val="both"/>
        <w:rPr>
          <w:rFonts w:ascii="Arial" w:eastAsia="Arial" w:hAnsi="Arial" w:cs="Arial"/>
          <w:color w:val="222222"/>
          <w:kern w:val="0"/>
          <w:sz w:val="24"/>
          <w:szCs w:val="24"/>
          <w:lang w:val="es-ES"/>
          <w14:ligatures w14:val="none"/>
        </w:rPr>
      </w:pPr>
    </w:p>
    <w:p w14:paraId="60719E14" w14:textId="77777777" w:rsidR="0093626A" w:rsidRPr="00634580" w:rsidRDefault="00000000" w:rsidP="00634580">
      <w:pPr>
        <w:spacing w:after="0" w:line="360" w:lineRule="auto"/>
        <w:ind w:left="720" w:hanging="720"/>
        <w:jc w:val="both"/>
        <w:rPr>
          <w:rFonts w:ascii="Arial" w:eastAsia="Arial" w:hAnsi="Arial" w:cs="Arial"/>
          <w:kern w:val="0"/>
          <w:sz w:val="24"/>
          <w:szCs w:val="24"/>
          <w:lang w:val="es-ES"/>
          <w14:ligatures w14:val="none"/>
        </w:rPr>
      </w:pPr>
      <w:r w:rsidRPr="00634580">
        <w:rPr>
          <w:rFonts w:ascii="Arial" w:eastAsia="Arial" w:hAnsi="Arial" w:cs="Arial"/>
          <w:kern w:val="0"/>
          <w:sz w:val="24"/>
          <w:szCs w:val="24"/>
          <w:lang w:val="es-ES"/>
          <w14:ligatures w14:val="none"/>
        </w:rPr>
        <w:t xml:space="preserve">Dirección de Internacionalización UAG. (s/f). Convenios. Disponible en: </w:t>
      </w:r>
      <w:hyperlink r:id="rId21">
        <w:r w:rsidRPr="00634580">
          <w:rPr>
            <w:rFonts w:ascii="Arial" w:eastAsia="Arial" w:hAnsi="Arial" w:cs="Arial"/>
            <w:kern w:val="0"/>
            <w:sz w:val="24"/>
            <w:szCs w:val="24"/>
            <w:u w:val="single"/>
            <w:lang w:val="es-ES"/>
            <w14:ligatures w14:val="none"/>
          </w:rPr>
          <w:t>https://www.uag.mx/es/especiales/convenios/m</w:t>
        </w:r>
      </w:hyperlink>
      <w:r w:rsidRPr="00634580">
        <w:rPr>
          <w:rFonts w:ascii="Arial" w:eastAsia="Arial" w:hAnsi="Arial" w:cs="Arial"/>
          <w:kern w:val="0"/>
          <w:sz w:val="24"/>
          <w:szCs w:val="24"/>
          <w:lang w:val="es-ES"/>
          <w14:ligatures w14:val="none"/>
        </w:rPr>
        <w:t xml:space="preserve"> </w:t>
      </w:r>
    </w:p>
    <w:p w14:paraId="01CA5B82" w14:textId="77777777" w:rsidR="0093626A" w:rsidRPr="00634580" w:rsidRDefault="0093626A" w:rsidP="00634580">
      <w:pPr>
        <w:spacing w:after="0" w:line="360" w:lineRule="auto"/>
        <w:ind w:left="720" w:hanging="720"/>
        <w:jc w:val="both"/>
        <w:rPr>
          <w:rFonts w:ascii="Arial" w:eastAsia="Arial" w:hAnsi="Arial" w:cs="Arial"/>
          <w:kern w:val="0"/>
          <w:sz w:val="24"/>
          <w:szCs w:val="24"/>
          <w:lang w:val="es-ES"/>
          <w14:ligatures w14:val="none"/>
        </w:rPr>
      </w:pPr>
    </w:p>
    <w:p w14:paraId="4B252F77" w14:textId="77777777" w:rsidR="0093626A" w:rsidRPr="00634580" w:rsidRDefault="00000000" w:rsidP="00634580">
      <w:pPr>
        <w:spacing w:after="0" w:line="360" w:lineRule="auto"/>
        <w:ind w:left="720" w:hanging="720"/>
        <w:jc w:val="both"/>
        <w:rPr>
          <w:rFonts w:ascii="Arial" w:eastAsia="Arial Unicode MS" w:hAnsi="Arial" w:cs="Arial"/>
          <w:kern w:val="0"/>
          <w:sz w:val="24"/>
          <w:szCs w:val="24"/>
          <w:lang w:val="en-US"/>
          <w14:ligatures w14:val="none"/>
        </w:rPr>
      </w:pPr>
      <w:r w:rsidRPr="00634580">
        <w:rPr>
          <w:rFonts w:ascii="Arial" w:eastAsia="Arial" w:hAnsi="Arial" w:cs="Arial"/>
          <w:kern w:val="0"/>
          <w:sz w:val="24"/>
          <w:szCs w:val="24"/>
          <w:lang w:val="es-ES"/>
          <w14:ligatures w14:val="none"/>
        </w:rPr>
        <w:t xml:space="preserve">Fernández Lopez, S., &amp; Ruzo Sanmarun, E. (2004). Los procesos de internacionalización y globalización en la educación superior: un análisis de los países OCDE. </w:t>
      </w:r>
      <w:r w:rsidRPr="00634580">
        <w:rPr>
          <w:rFonts w:ascii="Arial" w:eastAsia="Arial" w:hAnsi="Arial" w:cs="Arial"/>
          <w:i/>
          <w:iCs/>
          <w:kern w:val="0"/>
          <w:sz w:val="24"/>
          <w:szCs w:val="24"/>
          <w:lang w:val="en-US"/>
          <w14:ligatures w14:val="none"/>
        </w:rPr>
        <w:t>Revista de educación</w:t>
      </w:r>
      <w:r w:rsidRPr="00634580">
        <w:rPr>
          <w:rFonts w:ascii="Arial" w:eastAsia="Arial" w:hAnsi="Arial" w:cs="Arial"/>
          <w:kern w:val="0"/>
          <w:sz w:val="24"/>
          <w:szCs w:val="24"/>
          <w:lang w:val="en-US"/>
          <w14:ligatures w14:val="none"/>
        </w:rPr>
        <w:t>, 335, 385-413.</w:t>
      </w:r>
    </w:p>
    <w:p w14:paraId="6C9ACCA2" w14:textId="77777777" w:rsidR="0093626A" w:rsidRPr="00634580" w:rsidRDefault="00000000" w:rsidP="00634580">
      <w:pPr>
        <w:spacing w:after="0" w:line="360" w:lineRule="auto"/>
        <w:ind w:left="720" w:hanging="720"/>
        <w:jc w:val="both"/>
        <w:rPr>
          <w:rFonts w:ascii="Arial" w:eastAsia="Arial Unicode MS" w:hAnsi="Arial" w:cs="Arial"/>
          <w:kern w:val="0"/>
          <w:sz w:val="24"/>
          <w:szCs w:val="24"/>
          <w:lang w:val="en-US"/>
          <w14:ligatures w14:val="none"/>
        </w:rPr>
      </w:pPr>
      <w:r w:rsidRPr="00634580">
        <w:rPr>
          <w:rFonts w:ascii="Arial" w:eastAsia="Arial" w:hAnsi="Arial" w:cs="Arial"/>
          <w:kern w:val="0"/>
          <w:sz w:val="24"/>
          <w:szCs w:val="24"/>
          <w:lang w:val="en-US"/>
          <w14:ligatures w14:val="none"/>
        </w:rPr>
        <w:t xml:space="preserve"> </w:t>
      </w:r>
    </w:p>
    <w:p w14:paraId="09A962FC" w14:textId="77777777" w:rsidR="0093626A" w:rsidRPr="00634580" w:rsidRDefault="00000000" w:rsidP="00634580">
      <w:pPr>
        <w:spacing w:after="0" w:line="360" w:lineRule="auto"/>
        <w:ind w:left="720" w:hanging="720"/>
        <w:jc w:val="both"/>
        <w:rPr>
          <w:rFonts w:ascii="Arial" w:eastAsia="Arial" w:hAnsi="Arial" w:cs="Arial"/>
          <w:kern w:val="0"/>
          <w:sz w:val="24"/>
          <w:szCs w:val="24"/>
          <w:lang w:val="en-US"/>
          <w14:ligatures w14:val="none"/>
        </w:rPr>
      </w:pPr>
      <w:r w:rsidRPr="00634580">
        <w:rPr>
          <w:rFonts w:ascii="Arial" w:eastAsia="Arial" w:hAnsi="Arial" w:cs="Arial"/>
          <w:kern w:val="0"/>
          <w:sz w:val="24"/>
          <w:szCs w:val="24"/>
          <w:lang w:val="en-US"/>
          <w14:ligatures w14:val="none"/>
        </w:rPr>
        <w:t xml:space="preserve">Frederiksen, C. P. (2014). Filipino EFL Teachers Working Abroad: Some benefits and downsides for English teachers working abroad (Dissertation, Malmö högskola/Lärarutbildningen). Retrieved from </w:t>
      </w:r>
      <w:hyperlink r:id="rId22">
        <w:r w:rsidRPr="00634580">
          <w:rPr>
            <w:rFonts w:ascii="Arial" w:eastAsia="Arial" w:hAnsi="Arial" w:cs="Arial"/>
            <w:kern w:val="0"/>
            <w:sz w:val="24"/>
            <w:szCs w:val="24"/>
            <w:u w:val="single"/>
            <w:lang w:val="en-US"/>
            <w14:ligatures w14:val="none"/>
          </w:rPr>
          <w:t>https://urn.kb.se/resolve?urn=urn:nbn:se:mau:diva-33830</w:t>
        </w:r>
      </w:hyperlink>
      <w:r w:rsidRPr="00634580">
        <w:rPr>
          <w:rFonts w:ascii="Arial" w:eastAsia="Arial" w:hAnsi="Arial" w:cs="Arial"/>
          <w:kern w:val="0"/>
          <w:sz w:val="24"/>
          <w:szCs w:val="24"/>
          <w:lang w:val="en-US"/>
          <w14:ligatures w14:val="none"/>
        </w:rPr>
        <w:t xml:space="preserve"> </w:t>
      </w:r>
    </w:p>
    <w:p w14:paraId="4247020A" w14:textId="77777777" w:rsidR="0093626A" w:rsidRPr="00634580" w:rsidRDefault="0093626A" w:rsidP="00634580">
      <w:pPr>
        <w:spacing w:after="0" w:line="360" w:lineRule="auto"/>
        <w:ind w:left="720" w:hanging="720"/>
        <w:jc w:val="both"/>
        <w:rPr>
          <w:rFonts w:ascii="Arial" w:eastAsia="Arial" w:hAnsi="Arial" w:cs="Arial"/>
          <w:kern w:val="0"/>
          <w:sz w:val="24"/>
          <w:szCs w:val="24"/>
          <w:lang w:val="en-US"/>
          <w14:ligatures w14:val="none"/>
        </w:rPr>
      </w:pPr>
    </w:p>
    <w:p w14:paraId="3925FEB8" w14:textId="77777777" w:rsidR="0093626A" w:rsidRPr="00634580" w:rsidRDefault="00000000" w:rsidP="00634580">
      <w:pPr>
        <w:spacing w:after="0" w:line="360" w:lineRule="auto"/>
        <w:ind w:left="720" w:hanging="720"/>
        <w:jc w:val="both"/>
        <w:rPr>
          <w:rFonts w:ascii="Arial" w:eastAsia="Arial Unicode MS" w:hAnsi="Arial" w:cs="Arial"/>
          <w:kern w:val="0"/>
          <w:sz w:val="24"/>
          <w:szCs w:val="24"/>
          <w14:ligatures w14:val="none"/>
        </w:rPr>
      </w:pPr>
      <w:r w:rsidRPr="00634580">
        <w:rPr>
          <w:rFonts w:ascii="Arial" w:eastAsia="Arial" w:hAnsi="Arial" w:cs="Arial"/>
          <w:kern w:val="0"/>
          <w:sz w:val="24"/>
          <w:szCs w:val="24"/>
          <w:lang w:val="es-ES"/>
          <w14:ligatures w14:val="none"/>
        </w:rPr>
        <w:t xml:space="preserve">García-Gómez, L. E., Castañeda-Ibarra, R., &amp; Rivera-Barajas, J. M. (2022). La importancia de promover la movilidad internacional como parte fundamental para el desarrollo de capital humano docente de UACYA-UAN. </w:t>
      </w:r>
      <w:r w:rsidRPr="00634580">
        <w:rPr>
          <w:rFonts w:ascii="Arial" w:eastAsia="Arial" w:hAnsi="Arial" w:cs="Arial"/>
          <w:i/>
          <w:iCs/>
          <w:kern w:val="0"/>
          <w:sz w:val="24"/>
          <w:szCs w:val="24"/>
          <w:lang w:val="es-ES"/>
          <w14:ligatures w14:val="none"/>
        </w:rPr>
        <w:t>Ciencias Administrativas. Teoría Y Praxis</w:t>
      </w:r>
      <w:r w:rsidRPr="00634580">
        <w:rPr>
          <w:rFonts w:ascii="Arial" w:eastAsia="Arial" w:hAnsi="Arial" w:cs="Arial"/>
          <w:kern w:val="0"/>
          <w:sz w:val="24"/>
          <w:szCs w:val="24"/>
          <w:lang w:val="es-ES"/>
          <w14:ligatures w14:val="none"/>
        </w:rPr>
        <w:t xml:space="preserve">, </w:t>
      </w:r>
      <w:r w:rsidRPr="00634580">
        <w:rPr>
          <w:rFonts w:ascii="Arial" w:eastAsia="Arial" w:hAnsi="Arial" w:cs="Arial"/>
          <w:i/>
          <w:iCs/>
          <w:kern w:val="0"/>
          <w:sz w:val="24"/>
          <w:szCs w:val="24"/>
          <w:lang w:val="es-ES"/>
          <w14:ligatures w14:val="none"/>
        </w:rPr>
        <w:t>18</w:t>
      </w:r>
      <w:r w:rsidRPr="00634580">
        <w:rPr>
          <w:rFonts w:ascii="Arial" w:eastAsia="Arial" w:hAnsi="Arial" w:cs="Arial"/>
          <w:kern w:val="0"/>
          <w:sz w:val="24"/>
          <w:szCs w:val="24"/>
          <w:lang w:val="es-ES"/>
          <w14:ligatures w14:val="none"/>
        </w:rPr>
        <w:t xml:space="preserve">(2), 44–55. </w:t>
      </w:r>
      <w:hyperlink r:id="rId23">
        <w:r w:rsidRPr="00634580">
          <w:rPr>
            <w:rFonts w:ascii="Arial" w:eastAsia="Arial" w:hAnsi="Arial" w:cs="Arial"/>
            <w:kern w:val="0"/>
            <w:sz w:val="24"/>
            <w:szCs w:val="24"/>
            <w:u w:val="single"/>
            <w14:ligatures w14:val="none"/>
          </w:rPr>
          <w:t>https://doi.org/10.46443/catyp.v18i2.311</w:t>
        </w:r>
      </w:hyperlink>
    </w:p>
    <w:p w14:paraId="01A99E75" w14:textId="77777777" w:rsidR="0093626A" w:rsidRPr="00634580" w:rsidRDefault="00000000" w:rsidP="00634580">
      <w:pPr>
        <w:spacing w:after="0" w:line="360" w:lineRule="auto"/>
        <w:jc w:val="both"/>
        <w:rPr>
          <w:rFonts w:ascii="Arial" w:eastAsia="Arial Unicode MS" w:hAnsi="Arial" w:cs="Arial"/>
          <w:kern w:val="0"/>
          <w:sz w:val="24"/>
          <w:szCs w:val="24"/>
          <w14:ligatures w14:val="none"/>
        </w:rPr>
      </w:pPr>
      <w:r w:rsidRPr="00634580">
        <w:rPr>
          <w:rFonts w:ascii="Arial" w:eastAsia="Arial" w:hAnsi="Arial" w:cs="Arial"/>
          <w:kern w:val="0"/>
          <w:sz w:val="24"/>
          <w:szCs w:val="24"/>
          <w:lang w:val="es-ES"/>
          <w14:ligatures w14:val="none"/>
        </w:rPr>
        <w:t xml:space="preserve"> </w:t>
      </w:r>
    </w:p>
    <w:p w14:paraId="6330982A" w14:textId="77777777" w:rsidR="0093626A" w:rsidRPr="00634580" w:rsidRDefault="00000000" w:rsidP="00634580">
      <w:pPr>
        <w:spacing w:after="0" w:line="360" w:lineRule="auto"/>
        <w:ind w:left="720" w:hanging="720"/>
        <w:jc w:val="both"/>
        <w:rPr>
          <w:rFonts w:ascii="Arial" w:eastAsia="Arial Unicode MS" w:hAnsi="Arial" w:cs="Arial"/>
          <w:kern w:val="0"/>
          <w:sz w:val="24"/>
          <w:szCs w:val="24"/>
          <w14:ligatures w14:val="none"/>
        </w:rPr>
      </w:pPr>
      <w:r w:rsidRPr="00634580">
        <w:rPr>
          <w:rFonts w:ascii="Arial" w:eastAsia="Arial" w:hAnsi="Arial" w:cs="Arial"/>
          <w:color w:val="222222"/>
          <w:kern w:val="0"/>
          <w:sz w:val="24"/>
          <w:szCs w:val="24"/>
          <w:lang w:val="es-ES"/>
          <w14:ligatures w14:val="none"/>
        </w:rPr>
        <w:t xml:space="preserve">Gutiérrez-Sánchez, J. D., de Vicente, D. P., &amp; Olivencia, J. J. L. (2019). Comunidad y educación antes los retos de una sociedad global. In </w:t>
      </w:r>
      <w:r w:rsidRPr="00634580">
        <w:rPr>
          <w:rFonts w:ascii="Arial" w:eastAsia="Arial" w:hAnsi="Arial" w:cs="Arial"/>
          <w:i/>
          <w:iCs/>
          <w:color w:val="222222"/>
          <w:kern w:val="0"/>
          <w:sz w:val="24"/>
          <w:szCs w:val="24"/>
          <w:lang w:val="es-ES"/>
          <w14:ligatures w14:val="none"/>
        </w:rPr>
        <w:t>Migraciones: Movilidad y globalización en iberoamérica</w:t>
      </w:r>
      <w:r w:rsidRPr="00634580">
        <w:rPr>
          <w:rFonts w:ascii="Arial" w:eastAsia="Arial" w:hAnsi="Arial" w:cs="Arial"/>
          <w:color w:val="222222"/>
          <w:kern w:val="0"/>
          <w:sz w:val="24"/>
          <w:szCs w:val="24"/>
          <w:lang w:val="es-ES"/>
          <w14:ligatures w14:val="none"/>
        </w:rPr>
        <w:t xml:space="preserve"> (pp. 56-66). Cooperación Editorial.</w:t>
      </w:r>
    </w:p>
    <w:p w14:paraId="71D6E5BC" w14:textId="59E3C9CB" w:rsidR="0093626A" w:rsidRPr="00634580" w:rsidRDefault="00000000" w:rsidP="00634580">
      <w:pPr>
        <w:spacing w:after="0" w:line="360" w:lineRule="auto"/>
        <w:ind w:left="720" w:hanging="720"/>
        <w:jc w:val="both"/>
        <w:rPr>
          <w:rFonts w:ascii="Arial" w:eastAsia="Arial Unicode MS" w:hAnsi="Arial" w:cs="Arial"/>
          <w:kern w:val="0"/>
          <w:sz w:val="24"/>
          <w:szCs w:val="24"/>
          <w:lang w:val="es-ES"/>
          <w14:ligatures w14:val="none"/>
        </w:rPr>
      </w:pPr>
      <w:r w:rsidRPr="00634580">
        <w:rPr>
          <w:rFonts w:ascii="Arial" w:eastAsia="Arial" w:hAnsi="Arial" w:cs="Arial"/>
          <w:color w:val="222222"/>
          <w:kern w:val="0"/>
          <w:sz w:val="24"/>
          <w:szCs w:val="24"/>
          <w:lang w:val="es-ES"/>
          <w14:ligatures w14:val="none"/>
        </w:rPr>
        <w:t xml:space="preserve"> </w:t>
      </w:r>
      <w:r w:rsidRPr="00634580">
        <w:rPr>
          <w:rFonts w:ascii="Arial" w:eastAsia="Arial" w:hAnsi="Arial" w:cs="Arial"/>
          <w:color w:val="222222"/>
          <w:kern w:val="0"/>
          <w:sz w:val="24"/>
          <w:szCs w:val="24"/>
          <w:lang w:val="en-US"/>
          <w14:ligatures w14:val="none"/>
        </w:rPr>
        <w:t xml:space="preserve">Kammerer, D. Y. R., &amp; Carbonell, M. M. (2020). </w:t>
      </w:r>
      <w:r w:rsidRPr="00634580">
        <w:rPr>
          <w:rFonts w:ascii="Arial" w:eastAsia="Arial" w:hAnsi="Arial" w:cs="Arial"/>
          <w:color w:val="222222"/>
          <w:kern w:val="0"/>
          <w:sz w:val="24"/>
          <w:szCs w:val="24"/>
          <w:lang w:val="es-ES"/>
          <w14:ligatures w14:val="none"/>
        </w:rPr>
        <w:t xml:space="preserve">Movilidad internacional de docentes de la facultad de Psicología de la Universidad Cooperativa de Colombia sede Santa Marta. </w:t>
      </w:r>
      <w:hyperlink r:id="rId24">
        <w:r w:rsidRPr="00634580">
          <w:rPr>
            <w:rFonts w:ascii="Arial" w:eastAsia="Arial" w:hAnsi="Arial" w:cs="Arial"/>
            <w:color w:val="000000"/>
            <w:kern w:val="0"/>
            <w:sz w:val="24"/>
            <w:szCs w:val="24"/>
            <w:u w:val="single"/>
            <w:lang w:val="es-ES"/>
            <w14:ligatures w14:val="none"/>
          </w:rPr>
          <w:t>https://repository.ucc.edu.co/server/api/core/bitstreams/964e57ae-da2f-487a-81d0-b12395ae29ad/content</w:t>
        </w:r>
      </w:hyperlink>
    </w:p>
    <w:p w14:paraId="5C383F27" w14:textId="77777777" w:rsidR="0093626A" w:rsidRPr="00634580" w:rsidRDefault="00000000" w:rsidP="00634580">
      <w:pPr>
        <w:spacing w:after="0" w:line="360" w:lineRule="auto"/>
        <w:ind w:left="720" w:hanging="720"/>
        <w:jc w:val="both"/>
        <w:rPr>
          <w:rFonts w:ascii="Arial" w:eastAsia="Arial Unicode MS" w:hAnsi="Arial" w:cs="Arial"/>
          <w:kern w:val="0"/>
          <w:sz w:val="24"/>
          <w:szCs w:val="24"/>
          <w:lang w:val="es-ES"/>
          <w14:ligatures w14:val="none"/>
        </w:rPr>
      </w:pPr>
      <w:r w:rsidRPr="00634580">
        <w:rPr>
          <w:rFonts w:ascii="Arial" w:eastAsia="Arial" w:hAnsi="Arial" w:cs="Arial"/>
          <w:color w:val="222222"/>
          <w:kern w:val="0"/>
          <w:sz w:val="24"/>
          <w:szCs w:val="24"/>
          <w:lang w:val="es-ES"/>
          <w14:ligatures w14:val="none"/>
        </w:rPr>
        <w:t xml:space="preserve"> </w:t>
      </w:r>
    </w:p>
    <w:p w14:paraId="74DB9DB2" w14:textId="77777777" w:rsidR="0093626A" w:rsidRPr="00634580" w:rsidRDefault="00000000" w:rsidP="00634580">
      <w:pPr>
        <w:spacing w:after="0" w:line="360" w:lineRule="auto"/>
        <w:ind w:left="720" w:hanging="720"/>
        <w:jc w:val="both"/>
        <w:rPr>
          <w:rFonts w:ascii="Arial" w:eastAsia="Arial Unicode MS" w:hAnsi="Arial" w:cs="Arial"/>
          <w:kern w:val="0"/>
          <w:sz w:val="24"/>
          <w:szCs w:val="24"/>
          <w:lang w:val="en-US"/>
          <w14:ligatures w14:val="none"/>
        </w:rPr>
      </w:pPr>
      <w:r w:rsidRPr="00634580">
        <w:rPr>
          <w:rFonts w:ascii="Arial" w:eastAsia="Arial" w:hAnsi="Arial" w:cs="Arial"/>
          <w:kern w:val="0"/>
          <w:sz w:val="24"/>
          <w:szCs w:val="24"/>
          <w:lang w:val="en-US"/>
          <w14:ligatures w14:val="none"/>
        </w:rPr>
        <w:lastRenderedPageBreak/>
        <w:t xml:space="preserve">Lenz, R; Steinhaus, Carol. (2010) Internationalization of Universities as Internationalization of Bildung. Available at SSRN: </w:t>
      </w:r>
      <w:hyperlink r:id="rId25">
        <w:r w:rsidRPr="00634580">
          <w:rPr>
            <w:rFonts w:ascii="Arial" w:eastAsia="Arial" w:hAnsi="Arial" w:cs="Arial"/>
            <w:kern w:val="0"/>
            <w:sz w:val="24"/>
            <w:szCs w:val="24"/>
            <w:u w:val="single"/>
            <w:lang w:val="en-US"/>
            <w14:ligatures w14:val="none"/>
          </w:rPr>
          <w:t>https://ssrn.com/abstract=1673786</w:t>
        </w:r>
      </w:hyperlink>
      <w:r w:rsidRPr="00634580">
        <w:rPr>
          <w:rFonts w:ascii="Arial" w:eastAsia="Arial" w:hAnsi="Arial" w:cs="Arial"/>
          <w:kern w:val="0"/>
          <w:sz w:val="24"/>
          <w:szCs w:val="24"/>
          <w:lang w:val="en-US"/>
          <w14:ligatures w14:val="none"/>
        </w:rPr>
        <w:t xml:space="preserve">  or </w:t>
      </w:r>
      <w:hyperlink r:id="rId26">
        <w:r w:rsidRPr="00634580">
          <w:rPr>
            <w:rFonts w:ascii="Arial" w:eastAsia="Arial" w:hAnsi="Arial" w:cs="Arial"/>
            <w:kern w:val="0"/>
            <w:sz w:val="24"/>
            <w:szCs w:val="24"/>
            <w:u w:val="single"/>
            <w:lang w:val="en-US"/>
            <w14:ligatures w14:val="none"/>
          </w:rPr>
          <w:t>http://dx.doi.org/10.2139/ssrn.1673786</w:t>
        </w:r>
      </w:hyperlink>
    </w:p>
    <w:p w14:paraId="283DB066" w14:textId="77777777" w:rsidR="0093626A" w:rsidRPr="00634580" w:rsidRDefault="00000000" w:rsidP="00634580">
      <w:pPr>
        <w:spacing w:after="0" w:line="360" w:lineRule="auto"/>
        <w:ind w:left="357" w:hanging="357"/>
        <w:jc w:val="both"/>
        <w:rPr>
          <w:rFonts w:ascii="Arial" w:eastAsia="Arial Unicode MS" w:hAnsi="Arial" w:cs="Arial"/>
          <w:kern w:val="0"/>
          <w:sz w:val="24"/>
          <w:szCs w:val="24"/>
          <w:lang w:val="en-US"/>
          <w14:ligatures w14:val="none"/>
        </w:rPr>
      </w:pPr>
      <w:r w:rsidRPr="00634580">
        <w:rPr>
          <w:rFonts w:ascii="Arial" w:eastAsia="Arial" w:hAnsi="Arial" w:cs="Arial"/>
          <w:color w:val="000000"/>
          <w:kern w:val="0"/>
          <w:sz w:val="24"/>
          <w:szCs w:val="24"/>
          <w:lang w:val="en-US"/>
          <w14:ligatures w14:val="none"/>
        </w:rPr>
        <w:t xml:space="preserve"> </w:t>
      </w:r>
    </w:p>
    <w:p w14:paraId="61A500E9" w14:textId="77777777" w:rsidR="0093626A" w:rsidRPr="00634580" w:rsidRDefault="00000000" w:rsidP="00634580">
      <w:pPr>
        <w:spacing w:after="0" w:line="360" w:lineRule="auto"/>
        <w:ind w:left="720" w:hanging="720"/>
        <w:jc w:val="both"/>
        <w:rPr>
          <w:rFonts w:ascii="Arial" w:eastAsia="Arial Unicode MS" w:hAnsi="Arial" w:cs="Arial"/>
          <w:kern w:val="0"/>
          <w:sz w:val="24"/>
          <w:szCs w:val="24"/>
          <w14:ligatures w14:val="none"/>
        </w:rPr>
      </w:pPr>
      <w:r w:rsidRPr="00634580">
        <w:rPr>
          <w:rFonts w:ascii="Arial" w:eastAsia="Arial" w:hAnsi="Arial" w:cs="Arial"/>
          <w:color w:val="000000"/>
          <w:kern w:val="0"/>
          <w:sz w:val="24"/>
          <w:szCs w:val="24"/>
          <w:lang w:val="es-ES"/>
          <w14:ligatures w14:val="none"/>
        </w:rPr>
        <w:t xml:space="preserve">López, C. R. (2008). La Universidad de Madrid como escenario de las relaciones hispano-alemanas en el primer franquismo (1939-1951). </w:t>
      </w:r>
      <w:r w:rsidRPr="00634580">
        <w:rPr>
          <w:rFonts w:ascii="Arial" w:eastAsia="Arial" w:hAnsi="Arial" w:cs="Arial"/>
          <w:i/>
          <w:iCs/>
          <w:color w:val="000000"/>
          <w:kern w:val="0"/>
          <w:sz w:val="24"/>
          <w:szCs w:val="24"/>
          <w14:ligatures w14:val="none"/>
        </w:rPr>
        <w:t>Ayer,</w:t>
      </w:r>
      <w:r w:rsidRPr="00634580">
        <w:rPr>
          <w:rFonts w:ascii="Arial" w:eastAsia="Arial" w:hAnsi="Arial" w:cs="Arial"/>
          <w:color w:val="000000"/>
          <w:kern w:val="0"/>
          <w:sz w:val="24"/>
          <w:szCs w:val="24"/>
          <w14:ligatures w14:val="none"/>
        </w:rPr>
        <w:t xml:space="preserve"> 101-128.</w:t>
      </w:r>
    </w:p>
    <w:p w14:paraId="1220CBE8" w14:textId="77777777" w:rsidR="0093626A" w:rsidRPr="00634580" w:rsidRDefault="00000000" w:rsidP="00634580">
      <w:pPr>
        <w:spacing w:after="0" w:line="360" w:lineRule="auto"/>
        <w:ind w:left="357" w:hanging="357"/>
        <w:jc w:val="both"/>
        <w:rPr>
          <w:rFonts w:ascii="Arial" w:eastAsia="Arial Unicode MS" w:hAnsi="Arial" w:cs="Arial"/>
          <w:kern w:val="0"/>
          <w:sz w:val="24"/>
          <w:szCs w:val="24"/>
          <w14:ligatures w14:val="none"/>
        </w:rPr>
      </w:pPr>
      <w:r w:rsidRPr="00634580">
        <w:rPr>
          <w:rFonts w:ascii="Arial" w:eastAsia="Arial" w:hAnsi="Arial" w:cs="Arial"/>
          <w:color w:val="000000"/>
          <w:kern w:val="0"/>
          <w:sz w:val="24"/>
          <w:szCs w:val="24"/>
          <w14:ligatures w14:val="none"/>
        </w:rPr>
        <w:t xml:space="preserve"> </w:t>
      </w:r>
    </w:p>
    <w:p w14:paraId="0F3B2DEB" w14:textId="12C160C4" w:rsidR="0093626A" w:rsidRPr="00634580" w:rsidRDefault="00000000" w:rsidP="00634580">
      <w:pPr>
        <w:spacing w:after="0" w:line="360" w:lineRule="auto"/>
        <w:ind w:left="720" w:hanging="720"/>
        <w:jc w:val="both"/>
        <w:rPr>
          <w:rFonts w:ascii="Arial" w:eastAsia="Arial" w:hAnsi="Arial" w:cs="Arial"/>
          <w:kern w:val="0"/>
          <w:sz w:val="24"/>
          <w:szCs w:val="24"/>
          <w:lang w:val="en-US"/>
          <w14:ligatures w14:val="none"/>
        </w:rPr>
      </w:pPr>
      <w:r w:rsidRPr="00634580">
        <w:rPr>
          <w:rFonts w:ascii="Arial" w:eastAsia="Arial" w:hAnsi="Arial" w:cs="Arial"/>
          <w:kern w:val="0"/>
          <w:sz w:val="24"/>
          <w:szCs w:val="24"/>
          <w14:ligatures w14:val="none"/>
        </w:rPr>
        <w:t xml:space="preserve">Martínez Rodríguez, J. B., (2004). Movilidad / movilización de </w:t>
      </w:r>
      <w:r w:rsidR="00456D5C" w:rsidRPr="00456D5C">
        <w:rPr>
          <w:rFonts w:ascii="Arial" w:eastAsia="Arial" w:hAnsi="Arial" w:cs="Arial"/>
          <w:kern w:val="0"/>
          <w:sz w:val="24"/>
          <w:szCs w:val="24"/>
          <w14:ligatures w14:val="none"/>
        </w:rPr>
        <w:t>profesorado y</w:t>
      </w:r>
      <w:r w:rsidRPr="00634580">
        <w:rPr>
          <w:rFonts w:ascii="Arial" w:eastAsia="Arial" w:hAnsi="Arial" w:cs="Arial"/>
          <w:kern w:val="0"/>
          <w:sz w:val="24"/>
          <w:szCs w:val="24"/>
          <w14:ligatures w14:val="none"/>
        </w:rPr>
        <w:t xml:space="preserve"> estudiantes para la formación. </w:t>
      </w:r>
      <w:r w:rsidRPr="00634580">
        <w:rPr>
          <w:rFonts w:ascii="Arial" w:eastAsia="Arial" w:hAnsi="Arial" w:cs="Arial"/>
          <w:kern w:val="0"/>
          <w:sz w:val="24"/>
          <w:szCs w:val="24"/>
          <w:lang w:val="en-US"/>
          <w14:ligatures w14:val="none"/>
        </w:rPr>
        <w:t>Revista Interuniversitaria de Formación del Profesorado, 18(3), 233-250.</w:t>
      </w:r>
    </w:p>
    <w:p w14:paraId="6C5D5168" w14:textId="77777777" w:rsidR="0093626A" w:rsidRPr="00634580" w:rsidRDefault="0093626A" w:rsidP="00634580">
      <w:pPr>
        <w:spacing w:after="0" w:line="360" w:lineRule="auto"/>
        <w:ind w:left="720" w:hanging="720"/>
        <w:jc w:val="both"/>
        <w:rPr>
          <w:rFonts w:ascii="Arial" w:eastAsia="Arial" w:hAnsi="Arial" w:cs="Arial"/>
          <w:kern w:val="0"/>
          <w:sz w:val="24"/>
          <w:szCs w:val="24"/>
          <w:lang w:val="en-US"/>
          <w14:ligatures w14:val="none"/>
        </w:rPr>
      </w:pPr>
    </w:p>
    <w:p w14:paraId="5308F618" w14:textId="77777777" w:rsidR="0093626A" w:rsidRPr="00634580" w:rsidRDefault="00000000" w:rsidP="00634580">
      <w:pPr>
        <w:spacing w:after="0" w:line="360" w:lineRule="auto"/>
        <w:ind w:left="720" w:hanging="720"/>
        <w:jc w:val="both"/>
        <w:rPr>
          <w:rFonts w:ascii="Arial" w:eastAsia="Arial Unicode MS" w:hAnsi="Arial" w:cs="Arial"/>
          <w:kern w:val="0"/>
          <w:sz w:val="24"/>
          <w:szCs w:val="24"/>
          <w14:ligatures w14:val="none"/>
        </w:rPr>
      </w:pPr>
      <w:r w:rsidRPr="00634580">
        <w:rPr>
          <w:rFonts w:ascii="Arial" w:eastAsia="Arial" w:hAnsi="Arial" w:cs="Arial"/>
          <w:kern w:val="0"/>
          <w:sz w:val="24"/>
          <w:szCs w:val="24"/>
          <w:lang w:val="en-US"/>
          <w14:ligatures w14:val="none"/>
        </w:rPr>
        <w:t xml:space="preserve">Miller-Bernal, L. (2002). Peter J. Knapp in collaboration with Anne H. Knapp. Trinity College in the Twentieth Century: A History. Hartford: Trustees of Trinity College, 2000. 569pp. Cloth. </w:t>
      </w:r>
      <w:r w:rsidRPr="00634580">
        <w:rPr>
          <w:rFonts w:ascii="Arial" w:eastAsia="Arial" w:hAnsi="Arial" w:cs="Arial"/>
          <w:i/>
          <w:iCs/>
          <w:kern w:val="0"/>
          <w:sz w:val="24"/>
          <w:szCs w:val="24"/>
          <w:lang w:val="en-US"/>
          <w14:ligatures w14:val="none"/>
        </w:rPr>
        <w:t>History of Education Quarterly</w:t>
      </w:r>
      <w:r w:rsidRPr="00634580">
        <w:rPr>
          <w:rFonts w:ascii="Arial" w:eastAsia="Arial" w:hAnsi="Arial" w:cs="Arial"/>
          <w:kern w:val="0"/>
          <w:sz w:val="24"/>
          <w:szCs w:val="24"/>
          <w:lang w:val="en-US"/>
          <w14:ligatures w14:val="none"/>
        </w:rPr>
        <w:t xml:space="preserve">, </w:t>
      </w:r>
      <w:r w:rsidRPr="00634580">
        <w:rPr>
          <w:rFonts w:ascii="Arial" w:eastAsia="Arial" w:hAnsi="Arial" w:cs="Arial"/>
          <w:i/>
          <w:iCs/>
          <w:kern w:val="0"/>
          <w:sz w:val="24"/>
          <w:szCs w:val="24"/>
          <w:lang w:val="en-US"/>
          <w14:ligatures w14:val="none"/>
        </w:rPr>
        <w:t>42</w:t>
      </w:r>
      <w:r w:rsidRPr="00634580">
        <w:rPr>
          <w:rFonts w:ascii="Arial" w:eastAsia="Arial" w:hAnsi="Arial" w:cs="Arial"/>
          <w:kern w:val="0"/>
          <w:sz w:val="24"/>
          <w:szCs w:val="24"/>
          <w:lang w:val="en-US"/>
          <w14:ligatures w14:val="none"/>
        </w:rPr>
        <w:t xml:space="preserve">(3), 440–442. </w:t>
      </w:r>
      <w:hyperlink r:id="rId27">
        <w:r w:rsidRPr="00634580">
          <w:rPr>
            <w:rFonts w:ascii="Arial" w:eastAsia="Arial" w:hAnsi="Arial" w:cs="Arial"/>
            <w:kern w:val="0"/>
            <w:sz w:val="24"/>
            <w:szCs w:val="24"/>
            <w:u w:val="single"/>
            <w14:ligatures w14:val="none"/>
          </w:rPr>
          <w:t>https://doi.org/10.1017/s0018268000025681</w:t>
        </w:r>
      </w:hyperlink>
    </w:p>
    <w:p w14:paraId="19D5E58A" w14:textId="77777777" w:rsidR="0093626A" w:rsidRPr="00634580" w:rsidRDefault="0093626A" w:rsidP="00634580">
      <w:pPr>
        <w:spacing w:after="0" w:line="360" w:lineRule="auto"/>
        <w:ind w:left="720" w:hanging="720"/>
        <w:jc w:val="both"/>
        <w:rPr>
          <w:rFonts w:ascii="Arial" w:eastAsia="Arial" w:hAnsi="Arial" w:cs="Arial"/>
          <w:kern w:val="0"/>
          <w:sz w:val="24"/>
          <w:szCs w:val="24"/>
          <w:u w:val="single"/>
          <w14:ligatures w14:val="none"/>
        </w:rPr>
      </w:pPr>
    </w:p>
    <w:p w14:paraId="3DD3AB69" w14:textId="77777777" w:rsidR="0093626A" w:rsidRPr="00634580" w:rsidRDefault="00000000" w:rsidP="00634580">
      <w:pPr>
        <w:spacing w:after="0" w:line="360" w:lineRule="auto"/>
        <w:ind w:left="720" w:hanging="720"/>
        <w:jc w:val="both"/>
        <w:rPr>
          <w:rFonts w:ascii="Arial" w:eastAsia="Arial" w:hAnsi="Arial" w:cs="Arial"/>
          <w:color w:val="222222"/>
          <w:kern w:val="0"/>
          <w:sz w:val="24"/>
          <w:szCs w:val="24"/>
          <w14:ligatures w14:val="none"/>
        </w:rPr>
      </w:pPr>
      <w:r w:rsidRPr="00634580">
        <w:rPr>
          <w:rFonts w:ascii="Arial" w:eastAsia="Arial" w:hAnsi="Arial" w:cs="Arial"/>
          <w:color w:val="222222"/>
          <w:kern w:val="0"/>
          <w:sz w:val="24"/>
          <w:szCs w:val="24"/>
          <w14:ligatures w14:val="none"/>
        </w:rPr>
        <w:t>Orozco, Magdalena. (2009). Impacto del programa de movilidad académica en la formación integral de los alumnos. Revista de la educación superior. 38. 141-160.</w:t>
      </w:r>
    </w:p>
    <w:p w14:paraId="7C63B189" w14:textId="77777777" w:rsidR="0093626A" w:rsidRPr="00634580" w:rsidRDefault="0093626A" w:rsidP="00634580">
      <w:pPr>
        <w:spacing w:after="0" w:line="360" w:lineRule="auto"/>
        <w:ind w:left="720" w:hanging="720"/>
        <w:jc w:val="both"/>
        <w:rPr>
          <w:rFonts w:ascii="Arial" w:eastAsia="Arial" w:hAnsi="Arial" w:cs="Arial"/>
          <w:color w:val="222222"/>
          <w:kern w:val="0"/>
          <w:sz w:val="24"/>
          <w:szCs w:val="24"/>
          <w14:ligatures w14:val="none"/>
        </w:rPr>
      </w:pPr>
    </w:p>
    <w:p w14:paraId="179EBF2C" w14:textId="77777777" w:rsidR="0093626A" w:rsidRPr="00634580" w:rsidRDefault="00000000" w:rsidP="00634580">
      <w:pPr>
        <w:spacing w:after="0" w:line="360" w:lineRule="auto"/>
        <w:ind w:left="720" w:hanging="720"/>
        <w:jc w:val="both"/>
        <w:rPr>
          <w:rFonts w:ascii="Arial" w:eastAsia="Arial" w:hAnsi="Arial" w:cs="Arial"/>
          <w:kern w:val="0"/>
          <w:sz w:val="24"/>
          <w:szCs w:val="24"/>
          <w:lang w:val="en-US"/>
          <w14:ligatures w14:val="none"/>
        </w:rPr>
      </w:pPr>
      <w:r w:rsidRPr="00634580">
        <w:rPr>
          <w:rFonts w:ascii="Arial" w:eastAsia="Arial" w:hAnsi="Arial" w:cs="Arial"/>
          <w:color w:val="222222"/>
          <w:kern w:val="0"/>
          <w:sz w:val="24"/>
          <w:szCs w:val="24"/>
          <w14:ligatures w14:val="none"/>
        </w:rPr>
        <w:t xml:space="preserve">Orrego-Correa, C. I. (2014). La voluntad de emprender: un estudio fenomenológico. </w:t>
      </w:r>
      <w:r w:rsidRPr="00634580">
        <w:rPr>
          <w:rFonts w:ascii="Arial" w:eastAsia="Arial" w:hAnsi="Arial" w:cs="Arial"/>
          <w:i/>
          <w:iCs/>
          <w:color w:val="222222"/>
          <w:kern w:val="0"/>
          <w:sz w:val="24"/>
          <w:szCs w:val="24"/>
          <w:lang w:val="en-US"/>
          <w14:ligatures w14:val="none"/>
        </w:rPr>
        <w:t>Estrategias</w:t>
      </w:r>
      <w:r w:rsidRPr="00634580">
        <w:rPr>
          <w:rFonts w:ascii="Arial" w:eastAsia="Arial" w:hAnsi="Arial" w:cs="Arial"/>
          <w:color w:val="222222"/>
          <w:kern w:val="0"/>
          <w:sz w:val="24"/>
          <w:szCs w:val="24"/>
          <w:lang w:val="en-US"/>
          <w14:ligatures w14:val="none"/>
        </w:rPr>
        <w:t xml:space="preserve">, </w:t>
      </w:r>
      <w:r w:rsidRPr="00634580">
        <w:rPr>
          <w:rFonts w:ascii="Arial" w:eastAsia="Arial" w:hAnsi="Arial" w:cs="Arial"/>
          <w:i/>
          <w:iCs/>
          <w:color w:val="222222"/>
          <w:kern w:val="0"/>
          <w:sz w:val="24"/>
          <w:szCs w:val="24"/>
          <w:lang w:val="en-US"/>
          <w14:ligatures w14:val="none"/>
        </w:rPr>
        <w:t>12</w:t>
      </w:r>
      <w:r w:rsidRPr="00634580">
        <w:rPr>
          <w:rFonts w:ascii="Arial" w:eastAsia="Arial" w:hAnsi="Arial" w:cs="Arial"/>
          <w:color w:val="222222"/>
          <w:kern w:val="0"/>
          <w:sz w:val="24"/>
          <w:szCs w:val="24"/>
          <w:lang w:val="en-US"/>
          <w14:ligatures w14:val="none"/>
        </w:rPr>
        <w:t>(22), 17-28.</w:t>
      </w:r>
    </w:p>
    <w:p w14:paraId="4018ABC3" w14:textId="77777777" w:rsidR="0093626A" w:rsidRPr="00634580" w:rsidRDefault="00000000" w:rsidP="00634580">
      <w:pPr>
        <w:spacing w:after="0" w:line="360" w:lineRule="auto"/>
        <w:ind w:left="720" w:hanging="720"/>
        <w:jc w:val="both"/>
        <w:rPr>
          <w:rFonts w:ascii="Arial" w:eastAsia="Arial Unicode MS" w:hAnsi="Arial" w:cs="Arial"/>
          <w:kern w:val="0"/>
          <w:sz w:val="24"/>
          <w:szCs w:val="24"/>
          <w:lang w:val="en-US"/>
          <w14:ligatures w14:val="none"/>
        </w:rPr>
      </w:pPr>
      <w:r w:rsidRPr="00634580">
        <w:rPr>
          <w:rFonts w:ascii="Arial" w:eastAsia="Arial" w:hAnsi="Arial" w:cs="Arial"/>
          <w:kern w:val="0"/>
          <w:sz w:val="24"/>
          <w:szCs w:val="24"/>
          <w:lang w:val="en-US"/>
          <w14:ligatures w14:val="none"/>
        </w:rPr>
        <w:t xml:space="preserve"> </w:t>
      </w:r>
    </w:p>
    <w:p w14:paraId="0D823B33" w14:textId="77777777" w:rsidR="0093626A" w:rsidRPr="00634580" w:rsidRDefault="00000000" w:rsidP="00634580">
      <w:pPr>
        <w:spacing w:after="0" w:line="360" w:lineRule="auto"/>
        <w:ind w:left="720" w:hanging="720"/>
        <w:jc w:val="both"/>
        <w:rPr>
          <w:rFonts w:ascii="Arial" w:eastAsia="Arial" w:hAnsi="Arial" w:cs="Arial"/>
          <w:kern w:val="0"/>
          <w:sz w:val="24"/>
          <w:szCs w:val="24"/>
          <w:lang w:val="en-US"/>
          <w14:ligatures w14:val="none"/>
        </w:rPr>
      </w:pPr>
      <w:r w:rsidRPr="00634580">
        <w:rPr>
          <w:rFonts w:ascii="Arial" w:eastAsia="Arial" w:hAnsi="Arial" w:cs="Arial"/>
          <w:kern w:val="0"/>
          <w:sz w:val="24"/>
          <w:szCs w:val="24"/>
          <w14:ligatures w14:val="none"/>
        </w:rPr>
        <w:t xml:space="preserve">Ospina, N. S., &amp; Medina, S. L. (2020). </w:t>
      </w:r>
      <w:r w:rsidRPr="00634580">
        <w:rPr>
          <w:rFonts w:ascii="Arial" w:eastAsia="Arial" w:hAnsi="Arial" w:cs="Arial"/>
          <w:kern w:val="0"/>
          <w:sz w:val="24"/>
          <w:szCs w:val="24"/>
          <w:lang w:val="en-US"/>
          <w14:ligatures w14:val="none"/>
        </w:rPr>
        <w:t xml:space="preserve">Living and Teaching Internationally: Teachers Talk about Personal Experiences, Benefits, and Challenges. </w:t>
      </w:r>
      <w:r w:rsidRPr="00634580">
        <w:rPr>
          <w:rFonts w:ascii="Arial" w:eastAsia="Arial" w:hAnsi="Arial" w:cs="Arial"/>
          <w:i/>
          <w:iCs/>
          <w:kern w:val="0"/>
          <w:sz w:val="24"/>
          <w:szCs w:val="24"/>
          <w:lang w:val="en-US"/>
          <w14:ligatures w14:val="none"/>
        </w:rPr>
        <w:t>Journal of Research in International Education</w:t>
      </w:r>
      <w:r w:rsidRPr="00634580">
        <w:rPr>
          <w:rFonts w:ascii="Arial" w:eastAsia="Arial" w:hAnsi="Arial" w:cs="Arial"/>
          <w:kern w:val="0"/>
          <w:sz w:val="24"/>
          <w:szCs w:val="24"/>
          <w:lang w:val="en-US"/>
          <w14:ligatures w14:val="none"/>
        </w:rPr>
        <w:t xml:space="preserve">, 19(1), 38-53. </w:t>
      </w:r>
      <w:hyperlink r:id="rId28">
        <w:r w:rsidRPr="00634580">
          <w:rPr>
            <w:rFonts w:ascii="Arial" w:eastAsia="Arial" w:hAnsi="Arial" w:cs="Arial"/>
            <w:kern w:val="0"/>
            <w:sz w:val="24"/>
            <w:szCs w:val="24"/>
            <w:u w:val="single"/>
            <w:lang w:val="en-US"/>
            <w14:ligatures w14:val="none"/>
          </w:rPr>
          <w:t>https://doi.org/10.1177/1475240920915013</w:t>
        </w:r>
      </w:hyperlink>
      <w:r w:rsidRPr="00634580">
        <w:rPr>
          <w:rFonts w:ascii="Arial" w:eastAsia="Arial" w:hAnsi="Arial" w:cs="Arial"/>
          <w:kern w:val="0"/>
          <w:sz w:val="24"/>
          <w:szCs w:val="24"/>
          <w:lang w:val="en-US"/>
          <w14:ligatures w14:val="none"/>
        </w:rPr>
        <w:t xml:space="preserve"> </w:t>
      </w:r>
    </w:p>
    <w:p w14:paraId="5825C175" w14:textId="77777777" w:rsidR="0093626A" w:rsidRPr="00634580" w:rsidRDefault="0093626A" w:rsidP="00634580">
      <w:pPr>
        <w:spacing w:after="0" w:line="360" w:lineRule="auto"/>
        <w:ind w:left="720" w:hanging="720"/>
        <w:jc w:val="both"/>
        <w:rPr>
          <w:rFonts w:ascii="Arial" w:eastAsia="Arial" w:hAnsi="Arial" w:cs="Arial"/>
          <w:kern w:val="0"/>
          <w:sz w:val="24"/>
          <w:szCs w:val="24"/>
          <w:lang w:val="en-US"/>
          <w14:ligatures w14:val="none"/>
        </w:rPr>
      </w:pPr>
    </w:p>
    <w:p w14:paraId="3B7B8C9B" w14:textId="77777777" w:rsidR="0093626A" w:rsidRPr="00634580" w:rsidRDefault="00000000" w:rsidP="00634580">
      <w:pPr>
        <w:spacing w:after="0" w:line="360" w:lineRule="auto"/>
        <w:ind w:left="720" w:hanging="720"/>
        <w:jc w:val="both"/>
        <w:rPr>
          <w:rFonts w:ascii="Arial" w:eastAsia="Arial Unicode MS" w:hAnsi="Arial" w:cs="Arial"/>
          <w:kern w:val="0"/>
          <w:sz w:val="24"/>
          <w:szCs w:val="24"/>
          <w:lang w:val="en-US"/>
          <w14:ligatures w14:val="none"/>
        </w:rPr>
      </w:pPr>
      <w:r w:rsidRPr="00634580">
        <w:rPr>
          <w:rFonts w:ascii="Arial" w:eastAsia="Arial" w:hAnsi="Arial" w:cs="Arial"/>
          <w:kern w:val="0"/>
          <w:sz w:val="24"/>
          <w:szCs w:val="24"/>
          <w:lang w:val="en-US"/>
          <w14:ligatures w14:val="none"/>
        </w:rPr>
        <w:t xml:space="preserve">Prange, K. (2004) Bildung: a paradigm regained, en: </w:t>
      </w:r>
      <w:r w:rsidRPr="00634580">
        <w:rPr>
          <w:rFonts w:ascii="Arial" w:eastAsia="Arial" w:hAnsi="Arial" w:cs="Arial"/>
          <w:i/>
          <w:iCs/>
          <w:kern w:val="0"/>
          <w:sz w:val="24"/>
          <w:szCs w:val="24"/>
          <w:lang w:val="en-US"/>
          <w14:ligatures w14:val="none"/>
        </w:rPr>
        <w:t>European Educational Journal</w:t>
      </w:r>
      <w:r w:rsidRPr="00634580">
        <w:rPr>
          <w:rFonts w:ascii="Arial" w:eastAsia="Arial" w:hAnsi="Arial" w:cs="Arial"/>
          <w:kern w:val="0"/>
          <w:sz w:val="24"/>
          <w:szCs w:val="24"/>
          <w:lang w:val="en-US"/>
          <w14:ligatures w14:val="none"/>
        </w:rPr>
        <w:t>, Vol. 3, No. 2, p.p. 501-509.</w:t>
      </w:r>
    </w:p>
    <w:p w14:paraId="3026B79E" w14:textId="77777777" w:rsidR="0093626A" w:rsidRPr="00634580" w:rsidRDefault="00000000" w:rsidP="00634580">
      <w:pPr>
        <w:spacing w:after="0" w:line="360" w:lineRule="auto"/>
        <w:ind w:left="720" w:hanging="720"/>
        <w:jc w:val="both"/>
        <w:rPr>
          <w:rFonts w:ascii="Arial" w:eastAsia="Arial" w:hAnsi="Arial" w:cs="Arial"/>
          <w:kern w:val="0"/>
          <w:sz w:val="24"/>
          <w:szCs w:val="24"/>
          <w14:ligatures w14:val="none"/>
        </w:rPr>
      </w:pPr>
      <w:r w:rsidRPr="00634580">
        <w:rPr>
          <w:rFonts w:ascii="Arial" w:eastAsia="Arial" w:hAnsi="Arial" w:cs="Arial"/>
          <w:color w:val="222222"/>
          <w:kern w:val="0"/>
          <w:sz w:val="24"/>
          <w:szCs w:val="24"/>
          <w14:ligatures w14:val="none"/>
        </w:rPr>
        <w:lastRenderedPageBreak/>
        <w:t xml:space="preserve">Rambal-Simanca, M. C., &amp; Acuña-Sauriht, L. M. (2021). Análisis de la investigación “Imaginarios sociales del desarrollo humano, subyacentes en las políticas de resocialización de mujeres profesionales internas, en el Centro Penitenciario Villa Cristina de la ciudad de Armenia, Quindío, Colombia”: realizada por Quinceno, J; Morales, L &amp; Cuellar, L, 2015. </w:t>
      </w:r>
      <w:r w:rsidRPr="00634580">
        <w:rPr>
          <w:rFonts w:ascii="Arial" w:eastAsia="Arial" w:hAnsi="Arial" w:cs="Arial"/>
          <w:i/>
          <w:iCs/>
          <w:color w:val="222222"/>
          <w:kern w:val="0"/>
          <w:sz w:val="24"/>
          <w:szCs w:val="24"/>
          <w14:ligatures w14:val="none"/>
        </w:rPr>
        <w:t>Revista de Investigaciones Universidad del Quindío</w:t>
      </w:r>
      <w:r w:rsidRPr="00634580">
        <w:rPr>
          <w:rFonts w:ascii="Arial" w:eastAsia="Arial" w:hAnsi="Arial" w:cs="Arial"/>
          <w:color w:val="222222"/>
          <w:kern w:val="0"/>
          <w:sz w:val="24"/>
          <w:szCs w:val="24"/>
          <w14:ligatures w14:val="none"/>
        </w:rPr>
        <w:t xml:space="preserve">, </w:t>
      </w:r>
      <w:r w:rsidRPr="00634580">
        <w:rPr>
          <w:rFonts w:ascii="Arial" w:eastAsia="Arial" w:hAnsi="Arial" w:cs="Arial"/>
          <w:i/>
          <w:iCs/>
          <w:color w:val="222222"/>
          <w:kern w:val="0"/>
          <w:sz w:val="24"/>
          <w:szCs w:val="24"/>
          <w14:ligatures w14:val="none"/>
        </w:rPr>
        <w:t>33</w:t>
      </w:r>
      <w:r w:rsidRPr="00634580">
        <w:rPr>
          <w:rFonts w:ascii="Arial" w:eastAsia="Arial" w:hAnsi="Arial" w:cs="Arial"/>
          <w:color w:val="222222"/>
          <w:kern w:val="0"/>
          <w:sz w:val="24"/>
          <w:szCs w:val="24"/>
          <w14:ligatures w14:val="none"/>
        </w:rPr>
        <w:t>(1), 126-131.</w:t>
      </w:r>
    </w:p>
    <w:p w14:paraId="585EEC35" w14:textId="77777777" w:rsidR="0093626A" w:rsidRPr="00634580" w:rsidRDefault="00000000" w:rsidP="00634580">
      <w:pPr>
        <w:spacing w:after="0" w:line="360" w:lineRule="auto"/>
        <w:ind w:left="720" w:hanging="720"/>
        <w:jc w:val="both"/>
        <w:rPr>
          <w:rFonts w:ascii="Arial" w:eastAsia="Arial Unicode MS" w:hAnsi="Arial" w:cs="Arial"/>
          <w:kern w:val="0"/>
          <w:sz w:val="24"/>
          <w:szCs w:val="24"/>
          <w14:ligatures w14:val="none"/>
        </w:rPr>
      </w:pPr>
      <w:r w:rsidRPr="00634580">
        <w:rPr>
          <w:rFonts w:ascii="Arial" w:eastAsia="Arial" w:hAnsi="Arial" w:cs="Arial"/>
          <w:color w:val="000000"/>
          <w:kern w:val="0"/>
          <w:sz w:val="24"/>
          <w:szCs w:val="24"/>
          <w14:ligatures w14:val="none"/>
        </w:rPr>
        <w:t xml:space="preserve"> </w:t>
      </w:r>
    </w:p>
    <w:p w14:paraId="4C9895DA" w14:textId="77777777" w:rsidR="0093626A" w:rsidRPr="00634580" w:rsidRDefault="00000000" w:rsidP="00634580">
      <w:pPr>
        <w:spacing w:after="0" w:line="360" w:lineRule="auto"/>
        <w:ind w:left="720" w:hanging="720"/>
        <w:jc w:val="both"/>
        <w:rPr>
          <w:rFonts w:ascii="Arial" w:eastAsia="Arial Unicode MS" w:hAnsi="Arial" w:cs="Arial"/>
          <w:kern w:val="0"/>
          <w:sz w:val="24"/>
          <w:szCs w:val="24"/>
          <w14:ligatures w14:val="none"/>
        </w:rPr>
      </w:pPr>
      <w:r w:rsidRPr="00634580">
        <w:rPr>
          <w:rFonts w:ascii="Arial" w:eastAsia="Arial" w:hAnsi="Arial" w:cs="Arial"/>
          <w:color w:val="222222"/>
          <w:kern w:val="0"/>
          <w:sz w:val="24"/>
          <w:szCs w:val="24"/>
          <w:lang w:val="es-ES"/>
          <w14:ligatures w14:val="none"/>
        </w:rPr>
        <w:t xml:space="preserve">Reimers, F. (2021). Oportunidades educativas y la pandemia de la COVID-19 en América Latina. </w:t>
      </w:r>
      <w:r w:rsidRPr="00634580">
        <w:rPr>
          <w:rFonts w:ascii="Arial" w:eastAsia="Arial" w:hAnsi="Arial" w:cs="Arial"/>
          <w:i/>
          <w:iCs/>
          <w:color w:val="222222"/>
          <w:kern w:val="0"/>
          <w:sz w:val="24"/>
          <w:szCs w:val="24"/>
          <w:lang w:val="es-ES"/>
          <w14:ligatures w14:val="none"/>
        </w:rPr>
        <w:t>Revista Iberoamericana de Educación</w:t>
      </w:r>
      <w:r w:rsidRPr="00634580">
        <w:rPr>
          <w:rFonts w:ascii="Arial" w:eastAsia="Arial" w:hAnsi="Arial" w:cs="Arial"/>
          <w:color w:val="222222"/>
          <w:kern w:val="0"/>
          <w:sz w:val="24"/>
          <w:szCs w:val="24"/>
          <w:lang w:val="es-ES"/>
          <w14:ligatures w14:val="none"/>
        </w:rPr>
        <w:t xml:space="preserve">. </w:t>
      </w:r>
      <w:hyperlink r:id="rId29">
        <w:r w:rsidRPr="00634580">
          <w:rPr>
            <w:rFonts w:ascii="Arial" w:eastAsia="Arial" w:hAnsi="Arial" w:cs="Arial"/>
            <w:color w:val="000000"/>
            <w:kern w:val="0"/>
            <w:sz w:val="24"/>
            <w:szCs w:val="24"/>
            <w:u w:val="single"/>
            <w14:ligatures w14:val="none"/>
          </w:rPr>
          <w:t>https://hdl.handle.net/11162/229745</w:t>
        </w:r>
      </w:hyperlink>
    </w:p>
    <w:p w14:paraId="14B9BBEB" w14:textId="77777777" w:rsidR="0093626A" w:rsidRPr="00634580" w:rsidRDefault="00000000" w:rsidP="00634580">
      <w:pPr>
        <w:spacing w:after="0" w:line="360" w:lineRule="auto"/>
        <w:ind w:left="720" w:hanging="720"/>
        <w:jc w:val="both"/>
        <w:rPr>
          <w:rFonts w:ascii="Arial" w:eastAsia="Arial Unicode MS" w:hAnsi="Arial" w:cs="Arial"/>
          <w:kern w:val="0"/>
          <w:sz w:val="24"/>
          <w:szCs w:val="24"/>
          <w14:ligatures w14:val="none"/>
        </w:rPr>
      </w:pPr>
      <w:r w:rsidRPr="00634580">
        <w:rPr>
          <w:rFonts w:ascii="Arial" w:eastAsia="Arial" w:hAnsi="Arial" w:cs="Arial"/>
          <w:color w:val="000000"/>
          <w:kern w:val="0"/>
          <w:sz w:val="24"/>
          <w:szCs w:val="24"/>
          <w:lang w:val="es-ES"/>
          <w14:ligatures w14:val="none"/>
        </w:rPr>
        <w:t xml:space="preserve"> </w:t>
      </w:r>
    </w:p>
    <w:p w14:paraId="346AD32E" w14:textId="77777777" w:rsidR="0093626A" w:rsidRPr="00634580" w:rsidRDefault="00000000" w:rsidP="00634580">
      <w:pPr>
        <w:spacing w:after="0" w:line="360" w:lineRule="auto"/>
        <w:ind w:left="720" w:hanging="720"/>
        <w:jc w:val="both"/>
        <w:rPr>
          <w:rFonts w:ascii="Arial" w:eastAsia="Arial" w:hAnsi="Arial" w:cs="Arial"/>
          <w:color w:val="000000"/>
          <w:kern w:val="0"/>
          <w:sz w:val="24"/>
          <w:szCs w:val="24"/>
          <w:lang w:val="es-ES"/>
          <w14:ligatures w14:val="none"/>
        </w:rPr>
      </w:pPr>
      <w:r w:rsidRPr="00634580">
        <w:rPr>
          <w:rFonts w:ascii="Arial" w:eastAsia="Arial" w:hAnsi="Arial" w:cs="Arial"/>
          <w:color w:val="000000"/>
          <w:kern w:val="0"/>
          <w:sz w:val="24"/>
          <w:szCs w:val="24"/>
          <w:lang w:val="es-ES"/>
          <w14:ligatures w14:val="none"/>
        </w:rPr>
        <w:t xml:space="preserve">Sánchez Costa, E. (2017). Retos de la educación superior en América Latina: el caso de la República Dominicana. Ciencia y Sociedad, 42(1), 9–23. </w:t>
      </w:r>
      <w:hyperlink r:id="rId30">
        <w:r w:rsidRPr="00634580">
          <w:rPr>
            <w:rFonts w:ascii="Arial" w:eastAsia="Arial" w:hAnsi="Arial" w:cs="Arial"/>
            <w:color w:val="000000"/>
            <w:kern w:val="0"/>
            <w:sz w:val="24"/>
            <w:szCs w:val="24"/>
            <w:u w:val="single"/>
            <w:lang w:val="es-ES"/>
            <w14:ligatures w14:val="none"/>
          </w:rPr>
          <w:t>https://doi.org/10.22206/cys.2017.v42i1.pp9-23</w:t>
        </w:r>
      </w:hyperlink>
      <w:r w:rsidRPr="00634580">
        <w:rPr>
          <w:rFonts w:ascii="Arial" w:eastAsia="Arial" w:hAnsi="Arial" w:cs="Arial"/>
          <w:color w:val="000000"/>
          <w:kern w:val="0"/>
          <w:sz w:val="24"/>
          <w:szCs w:val="24"/>
          <w:lang w:val="es-ES"/>
          <w14:ligatures w14:val="none"/>
        </w:rPr>
        <w:t xml:space="preserve"> </w:t>
      </w:r>
    </w:p>
    <w:p w14:paraId="01345705" w14:textId="77777777" w:rsidR="0093626A" w:rsidRPr="00634580" w:rsidRDefault="0093626A" w:rsidP="00634580">
      <w:pPr>
        <w:spacing w:after="0" w:line="360" w:lineRule="auto"/>
        <w:ind w:left="720" w:hanging="720"/>
        <w:jc w:val="both"/>
        <w:rPr>
          <w:rFonts w:ascii="Arial" w:eastAsia="Arial" w:hAnsi="Arial" w:cs="Arial"/>
          <w:color w:val="000000"/>
          <w:kern w:val="0"/>
          <w:sz w:val="24"/>
          <w:szCs w:val="24"/>
          <w:lang w:val="es-ES"/>
          <w14:ligatures w14:val="none"/>
        </w:rPr>
      </w:pPr>
    </w:p>
    <w:p w14:paraId="4FFAFCFC" w14:textId="77777777" w:rsidR="0093626A" w:rsidRPr="00634580" w:rsidRDefault="00000000" w:rsidP="00634580">
      <w:pPr>
        <w:spacing w:after="0" w:line="360" w:lineRule="auto"/>
        <w:ind w:left="720" w:hanging="720"/>
        <w:jc w:val="both"/>
        <w:rPr>
          <w:rFonts w:ascii="Arial" w:eastAsia="Arial" w:hAnsi="Arial" w:cs="Arial"/>
          <w:color w:val="000000"/>
          <w:kern w:val="0"/>
          <w:sz w:val="24"/>
          <w:szCs w:val="24"/>
          <w14:ligatures w14:val="none"/>
        </w:rPr>
      </w:pPr>
      <w:r w:rsidRPr="00634580">
        <w:rPr>
          <w:rFonts w:ascii="Arial" w:eastAsia="Arial" w:hAnsi="Arial" w:cs="Arial"/>
          <w:color w:val="000000"/>
          <w:kern w:val="0"/>
          <w:sz w:val="24"/>
          <w:szCs w:val="24"/>
          <w:lang w:val="es-ES"/>
          <w14:ligatures w14:val="none"/>
        </w:rPr>
        <w:t xml:space="preserve"> Sánchez Gutiérrez, G. y Romero Huesca, S.J. (2022). La Internacionalización de la Educación Superior desde perspectivas descolonizadoras: una ruta posible. </w:t>
      </w:r>
      <w:r w:rsidRPr="00634580">
        <w:rPr>
          <w:rFonts w:ascii="Arial" w:eastAsia="Arial" w:hAnsi="Arial" w:cs="Arial"/>
          <w:i/>
          <w:iCs/>
          <w:color w:val="000000"/>
          <w:kern w:val="0"/>
          <w:sz w:val="24"/>
          <w:szCs w:val="24"/>
          <w:lang w:val="es-ES"/>
          <w14:ligatures w14:val="none"/>
        </w:rPr>
        <w:t>Revista Educación Superior y Sociedad,</w:t>
      </w:r>
      <w:r w:rsidRPr="00634580">
        <w:rPr>
          <w:rFonts w:ascii="Arial" w:eastAsia="Arial" w:hAnsi="Arial" w:cs="Arial"/>
          <w:color w:val="000000"/>
          <w:kern w:val="0"/>
          <w:sz w:val="24"/>
          <w:szCs w:val="24"/>
          <w:lang w:val="es-ES"/>
          <w14:ligatures w14:val="none"/>
        </w:rPr>
        <w:t xml:space="preserve"> 34(1),</w:t>
      </w:r>
      <w:r w:rsidRPr="00634580">
        <w:rPr>
          <w:rFonts w:ascii="Arial" w:eastAsia="Arial" w:hAnsi="Arial" w:cs="Arial"/>
          <w:color w:val="000000"/>
          <w:kern w:val="0"/>
          <w:sz w:val="24"/>
          <w:szCs w:val="24"/>
          <w14:ligatures w14:val="none"/>
        </w:rPr>
        <w:t>445-468. Doi: 10.54674/ess.v34i1.519</w:t>
      </w:r>
    </w:p>
    <w:p w14:paraId="6AC822CB" w14:textId="77777777" w:rsidR="0093626A" w:rsidRPr="00634580" w:rsidRDefault="00000000" w:rsidP="00634580">
      <w:pPr>
        <w:spacing w:after="0" w:line="360" w:lineRule="auto"/>
        <w:rPr>
          <w:rFonts w:ascii="Arial" w:eastAsia="Arial Unicode MS" w:hAnsi="Arial" w:cs="Arial"/>
          <w:kern w:val="0"/>
          <w:sz w:val="24"/>
          <w:szCs w:val="24"/>
          <w14:ligatures w14:val="none"/>
        </w:rPr>
      </w:pPr>
      <w:r w:rsidRPr="00634580">
        <w:rPr>
          <w:rFonts w:ascii="Arial" w:eastAsia="Arial" w:hAnsi="Arial" w:cs="Arial"/>
          <w:color w:val="222222"/>
          <w:kern w:val="0"/>
          <w:sz w:val="24"/>
          <w:szCs w:val="24"/>
          <w14:ligatures w14:val="none"/>
        </w:rPr>
        <w:t xml:space="preserve"> </w:t>
      </w:r>
    </w:p>
    <w:p w14:paraId="1AEBA37C" w14:textId="77777777" w:rsidR="0093626A" w:rsidRPr="00634580" w:rsidRDefault="0093626A" w:rsidP="00634580">
      <w:pPr>
        <w:spacing w:after="120" w:line="360" w:lineRule="auto"/>
        <w:jc w:val="both"/>
        <w:rPr>
          <w:rFonts w:ascii="Arial" w:eastAsia="Calibri" w:hAnsi="Arial" w:cs="Arial"/>
          <w:sz w:val="24"/>
          <w:szCs w:val="24"/>
          <w:lang w:val="es-ES"/>
        </w:rPr>
      </w:pPr>
    </w:p>
    <w:p w14:paraId="5CEB8883" w14:textId="77777777" w:rsidR="0093626A" w:rsidRPr="00634580" w:rsidRDefault="0093626A" w:rsidP="00634580">
      <w:pPr>
        <w:spacing w:after="120" w:line="360" w:lineRule="auto"/>
        <w:jc w:val="both"/>
        <w:rPr>
          <w:rFonts w:ascii="Arial" w:eastAsia="Calibri" w:hAnsi="Arial" w:cs="Arial"/>
          <w:sz w:val="24"/>
          <w:szCs w:val="24"/>
          <w:lang w:val="es-ES"/>
        </w:rPr>
      </w:pPr>
    </w:p>
    <w:p w14:paraId="52E0F9D5" w14:textId="77777777" w:rsidR="0093626A" w:rsidRPr="00634580" w:rsidRDefault="0093626A" w:rsidP="00634580">
      <w:pPr>
        <w:spacing w:after="120" w:line="360" w:lineRule="auto"/>
        <w:jc w:val="both"/>
        <w:rPr>
          <w:rFonts w:ascii="Arial" w:eastAsia="Calibri" w:hAnsi="Arial" w:cs="Arial"/>
          <w:sz w:val="24"/>
          <w:szCs w:val="24"/>
          <w:lang w:val="es-ES"/>
        </w:rPr>
      </w:pPr>
    </w:p>
    <w:p w14:paraId="1BDD3DF8" w14:textId="77777777" w:rsidR="0093626A" w:rsidRDefault="0093626A" w:rsidP="00634580">
      <w:pPr>
        <w:spacing w:after="120" w:line="360" w:lineRule="auto"/>
        <w:jc w:val="both"/>
        <w:rPr>
          <w:rFonts w:ascii="Arial" w:eastAsia="Calibri" w:hAnsi="Arial" w:cs="Arial"/>
          <w:sz w:val="24"/>
          <w:szCs w:val="24"/>
          <w:lang w:val="es-ES"/>
        </w:rPr>
      </w:pPr>
    </w:p>
    <w:p w14:paraId="119F018D" w14:textId="77777777" w:rsidR="0093626A" w:rsidRDefault="0093626A" w:rsidP="00634580">
      <w:pPr>
        <w:spacing w:after="120" w:line="360" w:lineRule="auto"/>
        <w:jc w:val="both"/>
        <w:rPr>
          <w:rFonts w:ascii="Arial" w:eastAsia="Calibri" w:hAnsi="Arial" w:cs="Arial"/>
          <w:sz w:val="24"/>
          <w:szCs w:val="24"/>
          <w:lang w:val="es-ES"/>
        </w:rPr>
      </w:pPr>
    </w:p>
    <w:p w14:paraId="1C0B4961" w14:textId="77777777" w:rsidR="0093626A" w:rsidRDefault="0093626A" w:rsidP="00634580">
      <w:pPr>
        <w:spacing w:after="120" w:line="360" w:lineRule="auto"/>
        <w:jc w:val="both"/>
        <w:rPr>
          <w:rFonts w:ascii="Arial" w:eastAsia="Calibri" w:hAnsi="Arial" w:cs="Arial"/>
          <w:sz w:val="24"/>
          <w:szCs w:val="24"/>
          <w:lang w:val="es-ES"/>
        </w:rPr>
      </w:pPr>
    </w:p>
    <w:p w14:paraId="780AC8D4" w14:textId="77777777" w:rsidR="0093626A" w:rsidRDefault="0093626A" w:rsidP="00634580">
      <w:pPr>
        <w:spacing w:after="120" w:line="360" w:lineRule="auto"/>
        <w:jc w:val="both"/>
        <w:rPr>
          <w:rFonts w:ascii="Arial" w:eastAsia="Calibri" w:hAnsi="Arial" w:cs="Arial"/>
          <w:sz w:val="24"/>
          <w:szCs w:val="24"/>
          <w:lang w:val="es-ES"/>
        </w:rPr>
      </w:pPr>
    </w:p>
    <w:p w14:paraId="50C76EDE" w14:textId="77777777" w:rsidR="0093626A" w:rsidRDefault="0093626A" w:rsidP="00634580">
      <w:pPr>
        <w:spacing w:after="120" w:line="360" w:lineRule="auto"/>
        <w:jc w:val="both"/>
        <w:rPr>
          <w:rFonts w:ascii="Arial" w:eastAsia="Calibri" w:hAnsi="Arial" w:cs="Arial"/>
          <w:sz w:val="24"/>
          <w:szCs w:val="24"/>
          <w:lang w:val="es-ES"/>
        </w:rPr>
      </w:pPr>
    </w:p>
    <w:p w14:paraId="0DF50C40" w14:textId="77777777" w:rsidR="0093626A" w:rsidRDefault="0093626A" w:rsidP="00634580">
      <w:pPr>
        <w:spacing w:after="120" w:line="360" w:lineRule="auto"/>
        <w:jc w:val="both"/>
        <w:rPr>
          <w:rFonts w:ascii="Arial" w:eastAsia="Calibri" w:hAnsi="Arial" w:cs="Arial"/>
          <w:sz w:val="24"/>
          <w:szCs w:val="24"/>
          <w:lang w:val="es-ES"/>
        </w:rPr>
      </w:pPr>
    </w:p>
    <w:p w14:paraId="030BA48A" w14:textId="77777777" w:rsidR="0093626A" w:rsidRDefault="00000000" w:rsidP="005915A7">
      <w:pPr>
        <w:spacing w:line="360" w:lineRule="auto"/>
        <w:jc w:val="center"/>
        <w:rPr>
          <w:rFonts w:ascii="Arial" w:eastAsia="Calibri" w:hAnsi="Arial" w:cs="Arial"/>
          <w:b/>
          <w:bCs/>
          <w:sz w:val="24"/>
          <w:szCs w:val="24"/>
        </w:rPr>
      </w:pPr>
      <w:bookmarkStart w:id="9" w:name="_Hlk219800649"/>
      <w:bookmarkStart w:id="10" w:name="_Hlk210138502"/>
      <w:r>
        <w:rPr>
          <w:rFonts w:ascii="Arial" w:eastAsia="Calibri" w:hAnsi="Arial" w:cs="Arial"/>
          <w:b/>
          <w:bCs/>
          <w:sz w:val="24"/>
          <w:szCs w:val="24"/>
        </w:rPr>
        <w:lastRenderedPageBreak/>
        <w:t>Sin consciencia es imposible la inteligencia,</w:t>
      </w:r>
      <w:r>
        <w:rPr>
          <w:rFonts w:ascii="Arial" w:eastAsia="Calibri" w:hAnsi="Arial" w:cs="Arial"/>
          <w:b/>
          <w:bCs/>
          <w:sz w:val="24"/>
          <w:szCs w:val="24"/>
        </w:rPr>
        <w:br/>
        <w:t>reflexión en torno a la “Inteligencia Artificial.”</w:t>
      </w:r>
    </w:p>
    <w:bookmarkEnd w:id="9"/>
    <w:p w14:paraId="70B3F42F" w14:textId="77777777" w:rsidR="0093626A" w:rsidRPr="00634580" w:rsidRDefault="00000000" w:rsidP="00634580">
      <w:pPr>
        <w:spacing w:line="360" w:lineRule="auto"/>
        <w:jc w:val="center"/>
        <w:rPr>
          <w:rFonts w:ascii="Arial" w:eastAsia="Calibri" w:hAnsi="Arial"/>
          <w:b/>
          <w:bCs/>
          <w:sz w:val="24"/>
          <w:szCs w:val="24"/>
          <w:lang w:val="en-US"/>
        </w:rPr>
      </w:pPr>
      <w:r w:rsidRPr="00634580">
        <w:rPr>
          <w:rFonts w:ascii="Arial" w:eastAsia="Calibri" w:hAnsi="Arial"/>
          <w:b/>
          <w:bCs/>
          <w:sz w:val="24"/>
          <w:szCs w:val="24"/>
          <w:lang w:val="en-US"/>
        </w:rPr>
        <w:t xml:space="preserve">Intelligence is impossible without consciousness; </w:t>
      </w:r>
    </w:p>
    <w:p w14:paraId="42AB95CE" w14:textId="77777777" w:rsidR="0093626A" w:rsidRPr="00634580" w:rsidRDefault="00000000" w:rsidP="00634580">
      <w:pPr>
        <w:spacing w:line="360" w:lineRule="auto"/>
        <w:jc w:val="center"/>
        <w:rPr>
          <w:rFonts w:ascii="Arial" w:eastAsia="Calibri" w:hAnsi="Arial" w:cs="Arial"/>
          <w:b/>
          <w:bCs/>
          <w:sz w:val="24"/>
          <w:szCs w:val="24"/>
          <w:lang w:val="en-US"/>
        </w:rPr>
      </w:pPr>
      <w:r w:rsidRPr="00634580">
        <w:rPr>
          <w:rFonts w:ascii="Arial" w:eastAsia="Calibri" w:hAnsi="Arial"/>
          <w:b/>
          <w:bCs/>
          <w:sz w:val="24"/>
          <w:szCs w:val="24"/>
          <w:lang w:val="en-US"/>
        </w:rPr>
        <w:t>a reflection on “Artificial Intelligence.”</w:t>
      </w:r>
    </w:p>
    <w:p w14:paraId="4B9ECB70" w14:textId="77777777" w:rsidR="0093626A" w:rsidRPr="00634580" w:rsidRDefault="0093626A" w:rsidP="00634580">
      <w:pPr>
        <w:spacing w:after="0" w:line="360" w:lineRule="auto"/>
        <w:jc w:val="center"/>
        <w:rPr>
          <w:rFonts w:ascii="Arial" w:eastAsia="Calibri" w:hAnsi="Arial" w:cs="Arial"/>
          <w:i/>
          <w:iCs/>
          <w:sz w:val="24"/>
          <w:szCs w:val="24"/>
          <w:lang w:val="en-US"/>
        </w:rPr>
      </w:pPr>
    </w:p>
    <w:p w14:paraId="25EF6C18" w14:textId="3B1F748A" w:rsidR="0093626A" w:rsidRPr="00634580" w:rsidRDefault="00000000" w:rsidP="00634580">
      <w:pPr>
        <w:spacing w:after="0" w:line="360" w:lineRule="auto"/>
        <w:jc w:val="center"/>
        <w:rPr>
          <w:rFonts w:ascii="Arial" w:eastAsia="Calibri" w:hAnsi="Arial" w:cs="Arial"/>
          <w:i/>
          <w:iCs/>
          <w:sz w:val="24"/>
          <w:szCs w:val="24"/>
        </w:rPr>
      </w:pPr>
      <w:bookmarkStart w:id="11" w:name="_Hlk219800670"/>
      <w:r w:rsidRPr="00634580">
        <w:rPr>
          <w:rFonts w:ascii="Arial" w:eastAsia="Calibri" w:hAnsi="Arial" w:cs="Arial"/>
          <w:i/>
          <w:iCs/>
          <w:sz w:val="24"/>
          <w:szCs w:val="24"/>
        </w:rPr>
        <w:t>Silviano de Jesús De Anda Ibarra</w:t>
      </w:r>
    </w:p>
    <w:bookmarkEnd w:id="11"/>
    <w:p w14:paraId="6D12977A" w14:textId="77777777" w:rsidR="0093626A" w:rsidRPr="00634580" w:rsidRDefault="00000000" w:rsidP="00634580">
      <w:pPr>
        <w:spacing w:after="0" w:line="360" w:lineRule="auto"/>
        <w:jc w:val="center"/>
        <w:rPr>
          <w:rFonts w:ascii="Arial" w:eastAsia="Calibri" w:hAnsi="Arial" w:cs="Arial"/>
          <w:i/>
          <w:iCs/>
          <w:sz w:val="24"/>
          <w:szCs w:val="24"/>
        </w:rPr>
      </w:pPr>
      <w:r w:rsidRPr="00634580">
        <w:rPr>
          <w:rFonts w:ascii="Arial" w:eastAsia="Calibri" w:hAnsi="Arial" w:cs="Arial"/>
          <w:i/>
          <w:iCs/>
          <w:sz w:val="24"/>
          <w:szCs w:val="24"/>
        </w:rPr>
        <w:t>Universidad Autónoma de Guadalajara</w:t>
      </w:r>
    </w:p>
    <w:p w14:paraId="7D4A1D73" w14:textId="77777777" w:rsidR="0093626A" w:rsidRDefault="0093626A" w:rsidP="005915A7">
      <w:pPr>
        <w:spacing w:line="360" w:lineRule="auto"/>
        <w:jc w:val="center"/>
        <w:rPr>
          <w:rFonts w:ascii="Arial" w:eastAsia="Calibri" w:hAnsi="Arial" w:cs="Arial"/>
          <w:b/>
          <w:bCs/>
          <w:sz w:val="24"/>
          <w:szCs w:val="24"/>
        </w:rPr>
      </w:pPr>
    </w:p>
    <w:p w14:paraId="1F58C7FB" w14:textId="77777777" w:rsidR="0093626A" w:rsidRPr="00634580" w:rsidRDefault="00000000" w:rsidP="005915A7">
      <w:pPr>
        <w:spacing w:line="360" w:lineRule="auto"/>
        <w:jc w:val="both"/>
        <w:rPr>
          <w:rFonts w:ascii="Arial" w:eastAsia="Calibri" w:hAnsi="Arial" w:cs="Arial"/>
          <w:b/>
          <w:bCs/>
          <w:sz w:val="24"/>
          <w:szCs w:val="24"/>
        </w:rPr>
      </w:pPr>
      <w:r w:rsidRPr="00634580">
        <w:rPr>
          <w:rFonts w:ascii="Arial" w:eastAsia="Calibri" w:hAnsi="Arial" w:cs="Arial"/>
          <w:b/>
          <w:bCs/>
          <w:sz w:val="24"/>
          <w:szCs w:val="24"/>
        </w:rPr>
        <w:t>Resumen</w:t>
      </w:r>
    </w:p>
    <w:p w14:paraId="2BFC9DC2" w14:textId="40C6A155" w:rsidR="0093626A" w:rsidRDefault="00000000" w:rsidP="005915A7">
      <w:pPr>
        <w:spacing w:line="360" w:lineRule="auto"/>
        <w:jc w:val="both"/>
        <w:rPr>
          <w:rFonts w:ascii="Arial" w:eastAsia="Calibri" w:hAnsi="Arial" w:cs="Arial"/>
          <w:sz w:val="24"/>
          <w:szCs w:val="24"/>
        </w:rPr>
      </w:pPr>
      <w:r>
        <w:rPr>
          <w:rFonts w:ascii="Arial" w:eastAsia="Calibri" w:hAnsi="Arial" w:cs="Arial"/>
          <w:sz w:val="24"/>
          <w:szCs w:val="24"/>
        </w:rPr>
        <w:t xml:space="preserve">¿Qué es un ser inteligente? Para responder es necesario conocer la constitución entitativa del que intelige, porque tal constitución revela su operatividad y tal operatividad revela la finalidad de su existir ¿Es la consciencia un constitutivo de los entes informáticos que determina su operatividad porque su finalidad es la emisión de juicios conscientes? </w:t>
      </w:r>
    </w:p>
    <w:p w14:paraId="153CF073" w14:textId="77777777" w:rsidR="0093626A" w:rsidRDefault="00000000" w:rsidP="005915A7">
      <w:pPr>
        <w:spacing w:line="360" w:lineRule="auto"/>
        <w:jc w:val="both"/>
        <w:rPr>
          <w:rFonts w:ascii="Arial" w:eastAsia="Calibri" w:hAnsi="Arial" w:cs="Arial"/>
          <w:sz w:val="24"/>
          <w:szCs w:val="24"/>
        </w:rPr>
      </w:pPr>
      <w:r>
        <w:rPr>
          <w:rFonts w:ascii="Arial" w:eastAsia="Calibri" w:hAnsi="Arial" w:cs="Arial"/>
          <w:sz w:val="24"/>
          <w:szCs w:val="24"/>
        </w:rPr>
        <w:tab/>
        <w:t>Buscando responder lo anterior se argumentará desde distintas perspectivas. Primero se argumentará cosmológicamente para poner de relieve la naturaleza material del dato informático. La segunda argumentación vendrá desde la teoría lingüística, poniendo énfasis en la significación. La tercera argumentación será gnoseológica con la intención de abrir la discusión al concepto de “consciencia.” La cuarta argumentación se realizará desde una perspectiva antropológica para poner de relieve la naturaleza del acto humano que es la dimensión que revela la finalidad de la consciencia.</w:t>
      </w:r>
    </w:p>
    <w:p w14:paraId="5DE11E81" w14:textId="77777777" w:rsidR="0093626A" w:rsidRDefault="00000000" w:rsidP="005915A7">
      <w:pPr>
        <w:spacing w:line="360" w:lineRule="auto"/>
        <w:jc w:val="both"/>
        <w:rPr>
          <w:rFonts w:ascii="Arial" w:eastAsia="Calibri" w:hAnsi="Arial" w:cs="Arial"/>
          <w:sz w:val="24"/>
          <w:szCs w:val="24"/>
        </w:rPr>
      </w:pPr>
      <w:r>
        <w:rPr>
          <w:rFonts w:ascii="Arial" w:eastAsia="Calibri" w:hAnsi="Arial" w:cs="Arial"/>
          <w:sz w:val="24"/>
          <w:szCs w:val="24"/>
        </w:rPr>
        <w:tab/>
        <w:t>La metodología utilizada en este texto corresponde a una dialéctica basada la categoría “relación” de Aristóteles en conjunto con su visión arquitectónico-causal de la filosofía, es decir, se busca una secuencialidad entre los conceptos clave y las realidades que éstos representan.</w:t>
      </w:r>
    </w:p>
    <w:p w14:paraId="205C1395" w14:textId="77777777" w:rsidR="0093626A" w:rsidRDefault="00000000" w:rsidP="005915A7">
      <w:pPr>
        <w:spacing w:line="360" w:lineRule="auto"/>
        <w:jc w:val="both"/>
        <w:rPr>
          <w:rFonts w:ascii="Arial" w:eastAsia="Calibri" w:hAnsi="Arial" w:cs="Arial"/>
          <w:sz w:val="24"/>
          <w:szCs w:val="24"/>
        </w:rPr>
      </w:pPr>
      <w:r>
        <w:rPr>
          <w:rFonts w:ascii="Arial" w:eastAsia="Calibri" w:hAnsi="Arial" w:cs="Arial"/>
          <w:sz w:val="24"/>
          <w:szCs w:val="24"/>
        </w:rPr>
        <w:tab/>
        <w:t xml:space="preserve">La conclusión que busca sustentar este trabajo es que la inteligencia artificial es un imposible, pero esto no quiere decir que aquello que recibe tal denominación </w:t>
      </w:r>
      <w:r>
        <w:rPr>
          <w:rFonts w:ascii="Arial" w:eastAsia="Calibri" w:hAnsi="Arial" w:cs="Arial"/>
          <w:sz w:val="24"/>
          <w:szCs w:val="24"/>
        </w:rPr>
        <w:lastRenderedPageBreak/>
        <w:t xml:space="preserve">sea por sí algo “bueno, o malo,” el no darle el lugar que le corresponder en la vida humana sí podría imprimirle una connotación negativa o positiva. </w:t>
      </w:r>
    </w:p>
    <w:p w14:paraId="0767F102" w14:textId="77777777" w:rsidR="0093626A" w:rsidRDefault="00000000" w:rsidP="005915A7">
      <w:pPr>
        <w:spacing w:line="360" w:lineRule="auto"/>
        <w:jc w:val="both"/>
        <w:rPr>
          <w:rFonts w:ascii="Arial" w:eastAsia="Calibri" w:hAnsi="Arial" w:cs="Arial"/>
          <w:sz w:val="24"/>
          <w:szCs w:val="24"/>
        </w:rPr>
      </w:pPr>
      <w:r>
        <w:rPr>
          <w:rFonts w:ascii="Arial" w:eastAsia="Calibri" w:hAnsi="Arial" w:cs="Arial"/>
          <w:b/>
          <w:bCs/>
          <w:sz w:val="24"/>
          <w:szCs w:val="24"/>
        </w:rPr>
        <w:t xml:space="preserve">Palabras clave: </w:t>
      </w:r>
      <w:r>
        <w:rPr>
          <w:rFonts w:ascii="Arial" w:eastAsia="Calibri" w:hAnsi="Arial" w:cs="Arial"/>
          <w:sz w:val="24"/>
          <w:szCs w:val="24"/>
        </w:rPr>
        <w:t>consciencia, inteligencia artificial, cosmología, gnoseología, significación.</w:t>
      </w:r>
    </w:p>
    <w:p w14:paraId="39957DD8" w14:textId="77777777" w:rsidR="0093626A" w:rsidRPr="00634580" w:rsidRDefault="00000000" w:rsidP="005915A7">
      <w:pPr>
        <w:spacing w:line="360" w:lineRule="auto"/>
        <w:jc w:val="both"/>
        <w:rPr>
          <w:rFonts w:ascii="Arial" w:eastAsia="Calibri" w:hAnsi="Arial" w:cs="Arial"/>
          <w:b/>
          <w:bCs/>
          <w:sz w:val="24"/>
          <w:szCs w:val="24"/>
          <w:lang w:val="en-US"/>
        </w:rPr>
      </w:pPr>
      <w:r w:rsidRPr="00634580">
        <w:rPr>
          <w:rFonts w:ascii="Arial" w:eastAsia="Calibri" w:hAnsi="Arial" w:cs="Arial"/>
          <w:b/>
          <w:bCs/>
          <w:sz w:val="24"/>
          <w:szCs w:val="24"/>
          <w:lang w:val="en-US"/>
        </w:rPr>
        <w:t>Abstract</w:t>
      </w:r>
    </w:p>
    <w:p w14:paraId="37099013" w14:textId="77777777" w:rsidR="0093626A" w:rsidRPr="00634580" w:rsidRDefault="00000000" w:rsidP="005915A7">
      <w:pPr>
        <w:spacing w:line="360" w:lineRule="auto"/>
        <w:jc w:val="both"/>
        <w:rPr>
          <w:rFonts w:ascii="Arial" w:eastAsia="Calibri" w:hAnsi="Arial"/>
          <w:sz w:val="24"/>
          <w:szCs w:val="24"/>
          <w:lang w:val="en-US"/>
        </w:rPr>
      </w:pPr>
      <w:r w:rsidRPr="00634580">
        <w:rPr>
          <w:rFonts w:ascii="Arial" w:eastAsia="Calibri" w:hAnsi="Arial"/>
          <w:sz w:val="24"/>
          <w:szCs w:val="24"/>
          <w:lang w:val="en-US"/>
        </w:rPr>
        <w:t xml:space="preserve">What is an intelligent being? To answer this, it is necessary to understand the entitative constitution of the one who understands, because this constitution reveals its operability, and this operability reveals the purpose of its existence. Is consciousness a constitutive element of information entities that determines their operability because their purpose is the issuance of conscious judgments? </w:t>
      </w:r>
    </w:p>
    <w:p w14:paraId="04E9031F" w14:textId="77777777" w:rsidR="0093626A" w:rsidRPr="00634580" w:rsidRDefault="00000000" w:rsidP="005915A7">
      <w:pPr>
        <w:spacing w:line="360" w:lineRule="auto"/>
        <w:jc w:val="both"/>
        <w:rPr>
          <w:rFonts w:ascii="Arial" w:eastAsia="Calibri" w:hAnsi="Arial"/>
          <w:sz w:val="24"/>
          <w:szCs w:val="24"/>
          <w:lang w:val="en-US"/>
        </w:rPr>
      </w:pPr>
      <w:r w:rsidRPr="00634580">
        <w:rPr>
          <w:rFonts w:ascii="Arial" w:eastAsia="Calibri" w:hAnsi="Arial"/>
          <w:sz w:val="24"/>
          <w:szCs w:val="24"/>
          <w:lang w:val="en-US"/>
        </w:rPr>
        <w:t>Seeking to answer the above, arguments will be presented from different perspectives. First, a cosmological argument will be presented to highlight the material nature of information data. The second argument will come from linguistic theory, emphasizing meaning. The third argument will be epistemological, with the intention of opening the discussion to the concept of "consciousness." The fourth argument will be presented from an anthropological perspective to highlight the nature of the human act, which is the dimension that reveals the purpose of consciousness.</w:t>
      </w:r>
    </w:p>
    <w:p w14:paraId="7A29640C" w14:textId="77777777" w:rsidR="0093626A" w:rsidRPr="00634580" w:rsidRDefault="00000000" w:rsidP="005915A7">
      <w:pPr>
        <w:spacing w:line="360" w:lineRule="auto"/>
        <w:jc w:val="both"/>
        <w:rPr>
          <w:rFonts w:ascii="Arial" w:eastAsia="Calibri" w:hAnsi="Arial"/>
          <w:sz w:val="24"/>
          <w:szCs w:val="24"/>
          <w:lang w:val="en-US"/>
        </w:rPr>
      </w:pPr>
      <w:r w:rsidRPr="00634580">
        <w:rPr>
          <w:rFonts w:ascii="Arial" w:eastAsia="Calibri" w:hAnsi="Arial"/>
          <w:sz w:val="24"/>
          <w:szCs w:val="24"/>
          <w:lang w:val="en-US"/>
        </w:rPr>
        <w:t>The methodology used in this text corresponds to a dialectic based on Aristotle's category of "relation" in conjunction with his architectural-causal vision of philosophy; that is, a sequential relationship is sought between the key concepts and the realities they represent. The conclusion this work seeks to support is that artificial intelligence is an impossibility, but this does not mean that what is called artificial intelligence is inherently "good or bad." Rather, failing to give it its rightful place in human life could imbue it with a negative or positive connotation.</w:t>
      </w:r>
    </w:p>
    <w:p w14:paraId="20F00B82" w14:textId="77777777" w:rsidR="0093626A" w:rsidRPr="00634580" w:rsidRDefault="00000000" w:rsidP="005915A7">
      <w:pPr>
        <w:spacing w:line="360" w:lineRule="auto"/>
        <w:jc w:val="both"/>
        <w:rPr>
          <w:rFonts w:ascii="Arial" w:eastAsia="Calibri" w:hAnsi="Arial" w:cs="Arial"/>
          <w:sz w:val="24"/>
          <w:szCs w:val="24"/>
          <w:lang w:val="en-US"/>
        </w:rPr>
      </w:pPr>
      <w:r w:rsidRPr="00634580">
        <w:rPr>
          <w:rFonts w:ascii="Arial" w:eastAsia="Calibri" w:hAnsi="Arial"/>
          <w:sz w:val="24"/>
          <w:szCs w:val="24"/>
          <w:lang w:val="en-US"/>
        </w:rPr>
        <w:t>Keywords: consciousness, artificial intelligence, cosmology, epistemology, meaning.</w:t>
      </w:r>
    </w:p>
    <w:p w14:paraId="33F64A7A" w14:textId="77777777" w:rsidR="0093626A" w:rsidRPr="00634580" w:rsidRDefault="0093626A" w:rsidP="005915A7">
      <w:pPr>
        <w:spacing w:line="360" w:lineRule="auto"/>
        <w:jc w:val="both"/>
        <w:rPr>
          <w:rFonts w:ascii="Arial" w:eastAsia="Calibri" w:hAnsi="Arial" w:cs="Arial"/>
          <w:sz w:val="24"/>
          <w:szCs w:val="24"/>
          <w:lang w:val="en-US"/>
        </w:rPr>
      </w:pPr>
    </w:p>
    <w:p w14:paraId="0A93F268" w14:textId="77777777" w:rsidR="0093626A" w:rsidRDefault="00000000" w:rsidP="00634580">
      <w:pPr>
        <w:spacing w:line="360" w:lineRule="auto"/>
        <w:rPr>
          <w:rFonts w:ascii="Arial" w:eastAsia="Calibri" w:hAnsi="Arial" w:cs="Arial"/>
          <w:b/>
          <w:bCs/>
          <w:sz w:val="24"/>
          <w:szCs w:val="24"/>
        </w:rPr>
      </w:pPr>
      <w:r>
        <w:rPr>
          <w:rFonts w:ascii="Arial" w:eastAsia="Calibri" w:hAnsi="Arial" w:cs="Arial"/>
          <w:b/>
          <w:bCs/>
          <w:sz w:val="24"/>
          <w:szCs w:val="24"/>
        </w:rPr>
        <w:t>Introducción</w:t>
      </w:r>
    </w:p>
    <w:p w14:paraId="68C72937" w14:textId="77777777" w:rsidR="0093626A" w:rsidRDefault="00000000" w:rsidP="005915A7">
      <w:pPr>
        <w:spacing w:line="360" w:lineRule="auto"/>
        <w:ind w:firstLine="708"/>
        <w:jc w:val="both"/>
        <w:rPr>
          <w:rFonts w:ascii="Arial" w:eastAsia="Calibri" w:hAnsi="Arial" w:cs="Arial"/>
          <w:sz w:val="24"/>
          <w:szCs w:val="24"/>
        </w:rPr>
      </w:pPr>
      <w:r>
        <w:rPr>
          <w:rFonts w:ascii="Arial" w:eastAsia="Calibri" w:hAnsi="Arial" w:cs="Arial"/>
          <w:sz w:val="24"/>
          <w:szCs w:val="24"/>
        </w:rPr>
        <w:lastRenderedPageBreak/>
        <w:t>¿Es la inteligencia artificial un término correcto, ha sido definido apropiadamente, y aún más importante, es un concepto verdadero? ¿Cuál es la relevancia de responder negativamente a las preguntas anteriores? Es decir ¿cómo puede impactar en la vida humana que el término inteligencia artificial sea incorrecto, que haya sido definido inapropiadamente, y peor aún, que sea una conceptualización errónea?</w:t>
      </w:r>
    </w:p>
    <w:p w14:paraId="3B850DFB" w14:textId="77777777" w:rsidR="0093626A" w:rsidRDefault="00000000" w:rsidP="00634580">
      <w:pPr>
        <w:spacing w:line="360" w:lineRule="auto"/>
        <w:jc w:val="both"/>
        <w:rPr>
          <w:rFonts w:ascii="Arial" w:eastAsia="Calibri" w:hAnsi="Arial" w:cs="Arial"/>
          <w:b/>
          <w:bCs/>
          <w:sz w:val="24"/>
          <w:szCs w:val="24"/>
        </w:rPr>
      </w:pPr>
      <w:r>
        <w:rPr>
          <w:rFonts w:ascii="Arial" w:eastAsia="Calibri" w:hAnsi="Arial" w:cs="Arial"/>
          <w:b/>
          <w:bCs/>
          <w:sz w:val="24"/>
          <w:szCs w:val="24"/>
        </w:rPr>
        <w:t>Metodología</w:t>
      </w:r>
    </w:p>
    <w:p w14:paraId="7A761858" w14:textId="77777777" w:rsidR="0093626A" w:rsidRDefault="00000000" w:rsidP="005915A7">
      <w:pPr>
        <w:spacing w:line="360" w:lineRule="auto"/>
        <w:ind w:firstLine="708"/>
        <w:jc w:val="both"/>
        <w:rPr>
          <w:rFonts w:ascii="Arial" w:eastAsia="Calibri" w:hAnsi="Arial" w:cs="Arial"/>
          <w:sz w:val="24"/>
          <w:szCs w:val="24"/>
        </w:rPr>
      </w:pPr>
      <w:r>
        <w:rPr>
          <w:rFonts w:ascii="Arial" w:eastAsia="Calibri" w:hAnsi="Arial" w:cs="Arial"/>
          <w:sz w:val="24"/>
          <w:szCs w:val="24"/>
        </w:rPr>
        <w:t>Como se comentó, la metodología utilizada en este texto corresponde a una dialéctica basada la categoría “relación” de Aristóteles en conjunto con su visión arquitectónico-causal de la filosofía, la cual consiste en plantear los conceptos clave a discutir, identificar la conexión extrínseca -es decir contextual- y la conexión intrínseca -esencia de las nociones- para determinar si las conexiones entre ellas son secuenciales obedeciendo así a una causalidad, o, en su defecto, si hay alguna conexión contradictoria, o, si no hay conexión alguna.</w:t>
      </w:r>
    </w:p>
    <w:p w14:paraId="1F90D0B9" w14:textId="77777777" w:rsidR="0093626A" w:rsidRDefault="00000000" w:rsidP="005915A7">
      <w:pPr>
        <w:spacing w:line="360" w:lineRule="auto"/>
        <w:ind w:firstLine="708"/>
        <w:jc w:val="both"/>
        <w:rPr>
          <w:rFonts w:ascii="Arial" w:eastAsia="Calibri" w:hAnsi="Arial" w:cs="Arial"/>
          <w:sz w:val="24"/>
          <w:szCs w:val="24"/>
        </w:rPr>
      </w:pPr>
      <w:r>
        <w:rPr>
          <w:rFonts w:ascii="Arial" w:eastAsia="Calibri" w:hAnsi="Arial" w:cs="Arial"/>
          <w:sz w:val="24"/>
          <w:szCs w:val="24"/>
        </w:rPr>
        <w:t>Dicho de otra forma, la estructura de este texto busca la secuencialidad (causalidad) que sustente la intelección o no intelección de los entes informáticos, para ello, en cada apartado argumentativo se realizará una exposición y se cerrará con una pregunta clave que será respondida en el aparatado de resultado. De esta manera y siguiendo el consejo de Aristóteles, se procederá de los más elemental a lo más elevado comenzando por exponer el argumento cosmológico, porque recordando que para los antiguos griegos el “cosmos” era una realidad toda integrada es esencial preguntarse la naturaleza del dato informático. Habiendo respondido cosmológicamente, se realizará una argumentación lingüística para entender cómo funciona el lenguaje humano y así cerrar el apartado con una pregunta clave para responder a lo planteado.</w:t>
      </w:r>
    </w:p>
    <w:p w14:paraId="11A3FA4A" w14:textId="77777777" w:rsidR="0093626A" w:rsidRDefault="00000000" w:rsidP="005915A7">
      <w:pPr>
        <w:spacing w:line="360" w:lineRule="auto"/>
        <w:ind w:firstLine="708"/>
        <w:jc w:val="both"/>
        <w:rPr>
          <w:rFonts w:ascii="Arial" w:eastAsia="Calibri" w:hAnsi="Arial" w:cs="Arial"/>
          <w:sz w:val="24"/>
          <w:szCs w:val="24"/>
        </w:rPr>
      </w:pPr>
      <w:r>
        <w:rPr>
          <w:rFonts w:ascii="Arial" w:eastAsia="Calibri" w:hAnsi="Arial" w:cs="Arial"/>
          <w:sz w:val="24"/>
          <w:szCs w:val="24"/>
        </w:rPr>
        <w:t>Posteriormente, se aborda gnoseológicamente la conciencia desde la línea del idealismo alemán y la línea clásica. Habiendo puesto de relieve la importancia de la conciencia se expone la naturaleza del acto humano para terminar si hay equivalencia con la operación informática.</w:t>
      </w:r>
    </w:p>
    <w:p w14:paraId="032516C4" w14:textId="77777777" w:rsidR="0093626A" w:rsidRDefault="00000000" w:rsidP="005915A7">
      <w:pPr>
        <w:spacing w:line="360" w:lineRule="auto"/>
        <w:ind w:firstLine="708"/>
        <w:jc w:val="both"/>
        <w:rPr>
          <w:rFonts w:ascii="Arial" w:eastAsia="Calibri" w:hAnsi="Arial" w:cs="Arial"/>
          <w:b/>
          <w:bCs/>
          <w:sz w:val="24"/>
          <w:szCs w:val="24"/>
        </w:rPr>
      </w:pPr>
      <w:r>
        <w:rPr>
          <w:rFonts w:ascii="Arial" w:eastAsia="Calibri" w:hAnsi="Arial" w:cs="Arial"/>
          <w:b/>
          <w:bCs/>
          <w:sz w:val="24"/>
          <w:szCs w:val="24"/>
        </w:rPr>
        <w:lastRenderedPageBreak/>
        <w:t>Primera argumentación: Cosmología</w:t>
      </w:r>
    </w:p>
    <w:p w14:paraId="40E70A03" w14:textId="77777777" w:rsidR="0093626A" w:rsidRDefault="00000000" w:rsidP="005915A7">
      <w:pPr>
        <w:spacing w:line="360" w:lineRule="auto"/>
        <w:ind w:firstLine="708"/>
        <w:jc w:val="both"/>
        <w:rPr>
          <w:rFonts w:ascii="Arial" w:eastAsia="Calibri" w:hAnsi="Arial" w:cs="Arial"/>
          <w:sz w:val="24"/>
          <w:szCs w:val="24"/>
        </w:rPr>
      </w:pPr>
      <w:r>
        <w:rPr>
          <w:rFonts w:ascii="Arial" w:eastAsia="Calibri" w:hAnsi="Arial" w:cs="Arial"/>
          <w:sz w:val="24"/>
          <w:szCs w:val="24"/>
        </w:rPr>
        <w:t>Esta primera argumentación por ser la más sencilla de todas es con la que se abre la dialéctica sobre el presente planteamiento, para ello cabe preguntar ¿cómo se mide el contenido informático?</w:t>
      </w:r>
    </w:p>
    <w:p w14:paraId="7A77E064" w14:textId="5F80ABE7" w:rsidR="0093626A" w:rsidRDefault="00000000" w:rsidP="005915A7">
      <w:pPr>
        <w:spacing w:line="360" w:lineRule="auto"/>
        <w:ind w:firstLine="708"/>
        <w:jc w:val="both"/>
        <w:rPr>
          <w:rFonts w:ascii="Arial" w:eastAsia="Calibri" w:hAnsi="Arial" w:cs="Arial"/>
          <w:sz w:val="24"/>
          <w:szCs w:val="24"/>
        </w:rPr>
      </w:pPr>
      <w:r>
        <w:rPr>
          <w:rFonts w:ascii="Arial" w:eastAsia="Calibri" w:hAnsi="Arial" w:cs="Arial"/>
          <w:sz w:val="24"/>
          <w:szCs w:val="24"/>
        </w:rPr>
        <w:t xml:space="preserve">De acuerdo con Sanguinetti (1993, pp.146-149) refiere que todos los cuerpos se manifiestan como extensos, con una cierta magnitud y dimensiones: por eso, pueden dividirse, aumentar o disminuir de tamaño, y cambiar de lugar. De un ente decimos que es un </w:t>
      </w:r>
      <w:r>
        <w:rPr>
          <w:rFonts w:ascii="Arial" w:eastAsia="Calibri" w:hAnsi="Arial" w:cs="Arial"/>
          <w:i/>
          <w:iCs/>
          <w:sz w:val="24"/>
          <w:szCs w:val="24"/>
        </w:rPr>
        <w:t>ens quantum,</w:t>
      </w:r>
      <w:r>
        <w:rPr>
          <w:rFonts w:ascii="Arial" w:eastAsia="Calibri" w:hAnsi="Arial" w:cs="Arial"/>
          <w:sz w:val="24"/>
          <w:szCs w:val="24"/>
        </w:rPr>
        <w:t xml:space="preserve"> un ente cuantificado: tiene una cantidad extensa, o cantidad dimensiva. La cantidad se da en toda substancia materia sea cual sea su naturaleza específica. Por su parte, García Cuadrado (2005, pp. 145-156) refiere que el ser propio de las substancias materiales incluye condiciones materiales que se encuentran íntimamente relacionadas a la cantidad. Lo natural se encuentra distendido en las condiciones materiales, tiene cantidad: extensión en el espacio y duración en el tiempo. Las dimensiones cuantitativas son las dimensiones relacionadas con la cantidad: por ejemplo, la extensión, la multiplicidad, la divisibilidad, la mensurabilidad y la numerabilidad. Lo cuantitativo responder a la pregunta ¿cuánto?. Se refiere a la magnitud de algo: cuánto mide, en el aspecto espacial; cuánto dura, en el temporal; cuánta velocidad posee, respecto del movimiento; cuántos individuos o componentes o aspectos existen en un sistema o en un conjunto de sistemas. Y la magnitud se relaciona con el número.</w:t>
      </w:r>
    </w:p>
    <w:p w14:paraId="63E86239" w14:textId="77777777" w:rsidR="0093626A" w:rsidRDefault="00000000" w:rsidP="005915A7">
      <w:pPr>
        <w:spacing w:after="240" w:line="360" w:lineRule="auto"/>
        <w:jc w:val="both"/>
        <w:rPr>
          <w:rFonts w:ascii="Arial" w:eastAsia="Calibri" w:hAnsi="Arial" w:cs="Arial"/>
          <w:sz w:val="24"/>
          <w:szCs w:val="24"/>
        </w:rPr>
      </w:pPr>
      <w:r>
        <w:rPr>
          <w:rFonts w:ascii="Arial" w:eastAsia="Calibri" w:hAnsi="Arial" w:cs="Arial"/>
          <w:b/>
          <w:bCs/>
          <w:sz w:val="24"/>
          <w:szCs w:val="24"/>
        </w:rPr>
        <w:tab/>
      </w:r>
      <w:r>
        <w:rPr>
          <w:rFonts w:ascii="Arial" w:eastAsia="Calibri" w:hAnsi="Arial" w:cs="Arial"/>
          <w:sz w:val="24"/>
          <w:szCs w:val="24"/>
        </w:rPr>
        <w:t xml:space="preserve">¿Cómo se mide el almacenamiento de una computadora? Vélez Martínez (s.f.) comenta que para entender el concepto de bit es más sencillo visualizarlo a través del hardware de la computadora. Para ello, el mismo Vélez cita a Tanenbaum porque éste define al hardware como los componentes electrónicos, memoria y dispositivos de entrada y salida que en su conjunto conforman una computadora, es decir toda la parte tangible de ésta. Los componentes electrónicos son generalmente placas que albergan resistencias, transistores, capacitores, circuitos integrados entre otros elementos indispensables para que fluya, se almacene y se comporte de cierta manera la corriente eléctrica que pasa a través de ellos. En particular los transistores, como elementos fundamentales de todo equipo de </w:t>
      </w:r>
      <w:r>
        <w:rPr>
          <w:rFonts w:ascii="Arial" w:eastAsia="Calibri" w:hAnsi="Arial" w:cs="Arial"/>
          <w:sz w:val="24"/>
          <w:szCs w:val="24"/>
        </w:rPr>
        <w:lastRenderedPageBreak/>
        <w:t>cómputo y contenidos actualmente en todos los procesadores, tienen la función básica de permitir o no el flujo de electricidad actuando como una compuerta que se abre y se cierra bajo determinadas circunstancias.</w:t>
      </w:r>
    </w:p>
    <w:p w14:paraId="650D1553" w14:textId="77777777" w:rsidR="0093626A" w:rsidRDefault="00000000" w:rsidP="005915A7">
      <w:pPr>
        <w:spacing w:after="240" w:line="360" w:lineRule="auto"/>
        <w:ind w:firstLine="708"/>
        <w:jc w:val="both"/>
        <w:rPr>
          <w:rFonts w:ascii="Arial" w:eastAsia="Calibri" w:hAnsi="Arial" w:cs="Arial"/>
          <w:sz w:val="24"/>
          <w:szCs w:val="24"/>
        </w:rPr>
      </w:pPr>
      <w:r>
        <w:rPr>
          <w:rFonts w:ascii="Arial" w:eastAsia="Calibri" w:hAnsi="Arial" w:cs="Arial"/>
          <w:sz w:val="24"/>
          <w:szCs w:val="24"/>
        </w:rPr>
        <w:t>Posteriormente, el mismo Vélez (s.f.) cita a White quien compara lo abierto y cerrado con dos estados: prendido o apagado (ON/OFF). A estos estados se les denomina binarios pues sólo pueden contener dos valores; dado que es más sencillo emplear dígitos, se utiliza el número 1 para representar el estado ON y 0 para el estado OFF, llamados dígitos binarios. Es por ello que un bit se define como un estado que puede contener sólo dos valores: cero y uno. </w:t>
      </w:r>
    </w:p>
    <w:p w14:paraId="41F7EB37" w14:textId="77777777" w:rsidR="0093626A" w:rsidRDefault="00000000" w:rsidP="005915A7">
      <w:pPr>
        <w:spacing w:after="240" w:line="360" w:lineRule="auto"/>
        <w:ind w:firstLine="708"/>
        <w:jc w:val="both"/>
        <w:rPr>
          <w:rFonts w:ascii="Arial" w:eastAsia="Calibri" w:hAnsi="Arial" w:cs="Arial"/>
          <w:sz w:val="24"/>
          <w:szCs w:val="24"/>
          <w:shd w:val="clear" w:color="auto" w:fill="FFFFFF"/>
        </w:rPr>
      </w:pPr>
      <w:r>
        <w:rPr>
          <w:rFonts w:ascii="Arial" w:eastAsia="Calibri" w:hAnsi="Arial" w:cs="Arial"/>
          <w:sz w:val="24"/>
          <w:szCs w:val="24"/>
          <w:shd w:val="clear" w:color="auto" w:fill="FFFFFF"/>
        </w:rPr>
        <w:t>El mismo Vélez continúa diciendo que desde un punto de vista más pragmático, un bit por sí solo no tiene mucha relevancia, sin embargo, existen unidades de medición que lo involucran y que son frecuentemente utilizadas. Para ejemplificar se apoya en Fahey quien afirma es la unidad de transferencia de información el bps (bits por segundo) que es el número de bits que se transfieren a través de un medio de comunicación; entre más alto sea este valor, más rápida será la transferencia y, por lo tanto, menos tiempo de espera al momento de realizar alguna consulta o transacción en internet. Por otra parte, el byte es un término más diverso, es decir, sus significados tienen distintas connotaciones y para ejemplificar se apoya en Long, quien lo define como un conjunto de bits para representar un carácter (letra, símbolo o dígito) y Tanenbaum quien lo delimita más como una serie de ocho bits. </w:t>
      </w:r>
    </w:p>
    <w:p w14:paraId="5F07838E" w14:textId="77777777" w:rsidR="0093626A" w:rsidRPr="00634580" w:rsidRDefault="00000000" w:rsidP="005915A7">
      <w:pPr>
        <w:spacing w:after="240" w:line="360" w:lineRule="auto"/>
        <w:ind w:firstLine="708"/>
        <w:jc w:val="both"/>
        <w:rPr>
          <w:rFonts w:ascii="Arial" w:eastAsia="Calibri" w:hAnsi="Arial" w:cs="Arial"/>
          <w:sz w:val="24"/>
          <w:szCs w:val="24"/>
        </w:rPr>
      </w:pPr>
      <w:r>
        <w:rPr>
          <w:rFonts w:ascii="Arial" w:eastAsia="Calibri" w:hAnsi="Arial" w:cs="Arial"/>
          <w:sz w:val="24"/>
          <w:szCs w:val="24"/>
          <w:shd w:val="clear" w:color="auto" w:fill="FFFFFF"/>
        </w:rPr>
        <w:t>Las preguntas clave aquí son ¿puede medirse una idea, o, el pensamiento? ¿dónde está el pensamiento? ¿cuándo comienza y termina una idea, o un pensamiento?</w:t>
      </w:r>
    </w:p>
    <w:p w14:paraId="3E4ED1FA" w14:textId="77777777" w:rsidR="0093626A" w:rsidRDefault="00000000" w:rsidP="005915A7">
      <w:pPr>
        <w:spacing w:line="360" w:lineRule="auto"/>
        <w:ind w:firstLine="708"/>
        <w:jc w:val="both"/>
        <w:rPr>
          <w:rFonts w:ascii="Arial" w:eastAsia="Calibri" w:hAnsi="Arial" w:cs="Arial"/>
          <w:b/>
          <w:bCs/>
          <w:sz w:val="24"/>
          <w:szCs w:val="24"/>
        </w:rPr>
      </w:pPr>
      <w:r>
        <w:rPr>
          <w:rFonts w:ascii="Arial" w:eastAsia="Calibri" w:hAnsi="Arial" w:cs="Arial"/>
          <w:b/>
          <w:bCs/>
          <w:sz w:val="24"/>
          <w:szCs w:val="24"/>
        </w:rPr>
        <w:t>Segunda argumentación: Teorías del lenguaje</w:t>
      </w:r>
    </w:p>
    <w:p w14:paraId="70DA332B" w14:textId="77777777" w:rsidR="0093626A" w:rsidRDefault="00000000" w:rsidP="005915A7">
      <w:pPr>
        <w:spacing w:line="360" w:lineRule="auto"/>
        <w:ind w:left="708" w:firstLine="708"/>
        <w:jc w:val="both"/>
        <w:rPr>
          <w:rFonts w:ascii="Arial" w:eastAsia="Calibri" w:hAnsi="Arial" w:cs="Arial"/>
          <w:b/>
          <w:bCs/>
          <w:sz w:val="24"/>
          <w:szCs w:val="24"/>
        </w:rPr>
      </w:pPr>
      <w:r>
        <w:rPr>
          <w:rFonts w:ascii="Arial" w:eastAsia="Calibri" w:hAnsi="Arial" w:cs="Arial"/>
          <w:b/>
          <w:bCs/>
          <w:sz w:val="24"/>
          <w:szCs w:val="24"/>
        </w:rPr>
        <w:t>Teorías contemporáneas</w:t>
      </w:r>
    </w:p>
    <w:p w14:paraId="7DE9E02B" w14:textId="77777777" w:rsidR="0093626A" w:rsidRDefault="00000000" w:rsidP="005915A7">
      <w:pPr>
        <w:spacing w:line="360" w:lineRule="auto"/>
        <w:ind w:firstLine="708"/>
        <w:jc w:val="both"/>
        <w:rPr>
          <w:rFonts w:ascii="Arial" w:eastAsia="Calibri" w:hAnsi="Arial" w:cs="Arial"/>
          <w:sz w:val="24"/>
          <w:szCs w:val="24"/>
        </w:rPr>
      </w:pPr>
      <w:r>
        <w:rPr>
          <w:rFonts w:ascii="Arial" w:eastAsia="Calibri" w:hAnsi="Arial" w:cs="Arial"/>
          <w:sz w:val="24"/>
          <w:szCs w:val="24"/>
        </w:rPr>
        <w:t xml:space="preserve">Entre las teorías del lenguaje contemporánea Gainza (1998, p.3) refiere a la semiótica como una teoría científica que se consolidó como tal después de las </w:t>
      </w:r>
      <w:r>
        <w:rPr>
          <w:rFonts w:ascii="Arial" w:eastAsia="Calibri" w:hAnsi="Arial" w:cs="Arial"/>
          <w:sz w:val="24"/>
          <w:szCs w:val="24"/>
        </w:rPr>
        <w:lastRenderedPageBreak/>
        <w:t xml:space="preserve">investigaciones sobre comunicación producidas después de la segunda guerra mundial -lo anterior ya previsto por Saussure y Pierce-. Con base en esto, Gainza (1998, p. 4) apoyado en Eliseo Verón a su vez apoyado en Pierce desarrolla el término “semiosis social,” el cual, se entiende como un encuentro dialéctico entre géneros discursivos y texto-mensaje: los componentes fundamentales de la materia semiótica humana. De este modo Gainza (1998, p. 5) saliendo del estructuralismo imperante comienza a comprender a la semiótica también como una teoría de la semiosis social que permite acceder con mayor facilidad a la semiótica de los signos y sus sistemas; el componente principal de la semiosis social es el sentido porque a través de sus prácticas significantes es posible la interacción de grupos o individuos de toda formación social. Por su parte la semántica, y (Gainza) apoyado en Adam Schaff afirma que solamente es una teoría general del significado (y la significación) de los signos, es decir, la semántica es la teoría del significado, de la relación con base al interpretante. </w:t>
      </w:r>
    </w:p>
    <w:p w14:paraId="1049D307" w14:textId="77777777" w:rsidR="0093626A" w:rsidRDefault="00000000" w:rsidP="005915A7">
      <w:pPr>
        <w:spacing w:line="360" w:lineRule="auto"/>
        <w:ind w:firstLine="708"/>
        <w:jc w:val="both"/>
        <w:rPr>
          <w:rFonts w:ascii="Arial" w:eastAsia="Calibri" w:hAnsi="Arial" w:cs="Arial"/>
          <w:sz w:val="24"/>
          <w:szCs w:val="24"/>
        </w:rPr>
      </w:pPr>
      <w:r>
        <w:rPr>
          <w:rFonts w:ascii="Arial" w:eastAsia="Calibri" w:hAnsi="Arial" w:cs="Arial"/>
          <w:sz w:val="24"/>
          <w:szCs w:val="24"/>
        </w:rPr>
        <w:t>Con base en lo anterior, Gainza (1998, p. 12) habla de la semiótica de la discursividad literaria como la capacidad de interpretar un texto simultáneamente codificado en dos sistemas sígnicos. La “lectura” de los textos, literarios o no literarios, es una operación semiótica, uno de cuyos componentes básicos es el análisis semántico de la materia discursiva con que se manifiesta cada texto. La cual se sostiene en la identificación de la práctica social ideológicamente percibida y el reconocimiento de la estructura de sentido. Para lograr esta propuesta el texto percibido al texto como una magnitud semiótica mínima y, por eso, en él se articulan necesariamente todos factores de la semiosis social que condicionan su producción. De igual modo, Gainza (198, pp. 8-9) se ha apoyado en el aporte teórico-metodológico del dialoguismo de Mijaíl Bahtín consistente en una otredad, la intertextualidad y la relativización. La otredad es el aporte de las obras no producidas por el autor, la intertextualidad aporta el espacio semiótico donde se entretejen los anunciados ajenos con el productor, y, la relativización aporta las condiciones históricas de producción de textos.</w:t>
      </w:r>
    </w:p>
    <w:p w14:paraId="7B315B54" w14:textId="77777777" w:rsidR="0093626A" w:rsidRDefault="00000000" w:rsidP="005915A7">
      <w:pPr>
        <w:spacing w:line="360" w:lineRule="auto"/>
        <w:ind w:firstLine="708"/>
        <w:jc w:val="both"/>
        <w:rPr>
          <w:rFonts w:ascii="Arial" w:eastAsia="Calibri" w:hAnsi="Arial" w:cs="Arial"/>
          <w:sz w:val="24"/>
          <w:szCs w:val="24"/>
        </w:rPr>
      </w:pPr>
      <w:r>
        <w:rPr>
          <w:rFonts w:ascii="Arial" w:eastAsia="Calibri" w:hAnsi="Arial" w:cs="Arial"/>
          <w:sz w:val="24"/>
          <w:szCs w:val="24"/>
        </w:rPr>
        <w:lastRenderedPageBreak/>
        <w:t>El mismo Gainza (1998, pp. 9-10) se apoya de nuevo en Verón para explorar las condiciones históricas a través del componente ideológico, de poder y del sujeto. Lo ideológico refiere al sistema de representaciones y valores socialmente adquiridos, el poder hacer referencia a las determinaciones económico-políticas de las relaciones sociales y el sujeto al imaginario colectivo con el sentido textual. Una tercera postura de Gainza (1998, pp. 10-11) se apoya en Lotman a través de la función comunicativa, mnemónica y creativa; lo comunicativo hace referencia al contenido semántico, la mnemónica hace referencia a la memoria social y lo creativo a las diferentes lecturas posibles.</w:t>
      </w:r>
    </w:p>
    <w:p w14:paraId="2F8990AA" w14:textId="77777777" w:rsidR="0093626A" w:rsidRDefault="00000000" w:rsidP="005915A7">
      <w:pPr>
        <w:spacing w:line="360" w:lineRule="auto"/>
        <w:ind w:firstLine="708"/>
        <w:jc w:val="both"/>
        <w:rPr>
          <w:rFonts w:ascii="Arial" w:eastAsia="Calibri" w:hAnsi="Arial" w:cs="Arial"/>
          <w:sz w:val="24"/>
          <w:szCs w:val="24"/>
        </w:rPr>
      </w:pPr>
      <w:r>
        <w:rPr>
          <w:rFonts w:ascii="Arial" w:eastAsia="Calibri" w:hAnsi="Arial" w:cs="Arial"/>
          <w:sz w:val="24"/>
          <w:szCs w:val="24"/>
        </w:rPr>
        <w:t xml:space="preserve">Por otro lado, Morris (1971, pp. 27-28) menciona que semiótica y semiología son sinónimos intercambiables y que el proceso en el que algo funciona como signo puede denominarse semiosis compuesto de cuatro elementos: el vehículo sígnico, el designatum, el interpertante y el intérprete. Dicho de otra forma, los mediadores son vehículos signícos, las consideraciones son interpretantes, los agentes del proceso son intérpretes y lo que se toma en consideración son los designata. Por ejemplo: un viajero se prepara para esta a tono (interpretante del intérprete) con la región geográfica (designatum) que se desplaza en virtud de la carta (vehículo sígnico) que ha recibido de un amigo. </w:t>
      </w:r>
    </w:p>
    <w:p w14:paraId="4B7F9A01" w14:textId="77777777" w:rsidR="0093626A" w:rsidRDefault="00000000" w:rsidP="005915A7">
      <w:pPr>
        <w:spacing w:line="360" w:lineRule="auto"/>
        <w:ind w:firstLine="708"/>
        <w:jc w:val="both"/>
        <w:rPr>
          <w:rFonts w:ascii="Arial" w:eastAsia="Calibri" w:hAnsi="Arial" w:cs="Arial"/>
          <w:sz w:val="24"/>
          <w:szCs w:val="24"/>
        </w:rPr>
      </w:pPr>
      <w:r>
        <w:rPr>
          <w:rFonts w:ascii="Arial" w:eastAsia="Calibri" w:hAnsi="Arial" w:cs="Arial"/>
          <w:sz w:val="24"/>
          <w:szCs w:val="24"/>
        </w:rPr>
        <w:t xml:space="preserve">Finalmente, Chomsky (2016, p.45) divide al lenguaje en dos grandes bloques cuyos componentes revelan si su función es generativa o interpretativa. Los componentes generativos son la morfología y la sintaxis mientras que los elementos interpretativos que evidentemente interpretan lo generado por la sintaxis son la fonología y la semántica. El mismo Chomsky (2016, p. 65) refiere que una lengua es un sistema (gramática) que comprende formas posibles (gramaticales) y excluye formas no posibles (no gramaticales) y, si en su interior existen principios, reglas recurrentes, condiciones sin las que una frase no es gramatical, entonces es posible enunciar explícitamente y con precisión esos principios que definen su estructura. El objetivo de la lingüística, por tanto, consiste en buscar los motivos sistemáticos que explican la posibilidad o no de una construcción sintáctica. </w:t>
      </w:r>
    </w:p>
    <w:p w14:paraId="794406CE" w14:textId="77777777" w:rsidR="0093626A" w:rsidRDefault="00000000" w:rsidP="005915A7">
      <w:pPr>
        <w:spacing w:line="360" w:lineRule="auto"/>
        <w:ind w:firstLine="708"/>
        <w:jc w:val="both"/>
        <w:rPr>
          <w:rFonts w:ascii="Arial" w:eastAsia="Calibri" w:hAnsi="Arial" w:cs="Arial"/>
          <w:sz w:val="24"/>
          <w:szCs w:val="24"/>
        </w:rPr>
      </w:pPr>
      <w:r>
        <w:rPr>
          <w:rFonts w:ascii="Arial" w:eastAsia="Calibri" w:hAnsi="Arial" w:cs="Arial"/>
          <w:sz w:val="24"/>
          <w:szCs w:val="24"/>
        </w:rPr>
        <w:lastRenderedPageBreak/>
        <w:t>Por tanto, la sistemática lingüística como dice Chomsky (2016, p.67) equivale a un algoritmo explícitamente construido, y absolutamente riguroso. Si el algoritmo, de hecho, genera correctamente sólo frases efectivamente posibles en una gramática, entonces ello constituye un modelo plausible de las reglas lingüísticas.</w:t>
      </w:r>
    </w:p>
    <w:p w14:paraId="41C60300" w14:textId="77777777" w:rsidR="0093626A" w:rsidRDefault="00000000" w:rsidP="005915A7">
      <w:pPr>
        <w:spacing w:line="360" w:lineRule="auto"/>
        <w:ind w:firstLine="708"/>
        <w:jc w:val="both"/>
        <w:rPr>
          <w:rFonts w:ascii="Arial" w:eastAsia="Calibri" w:hAnsi="Arial" w:cs="Arial"/>
          <w:sz w:val="24"/>
          <w:szCs w:val="24"/>
        </w:rPr>
      </w:pPr>
      <w:r>
        <w:rPr>
          <w:rFonts w:ascii="Arial" w:eastAsia="Calibri" w:hAnsi="Arial" w:cs="Arial"/>
          <w:sz w:val="24"/>
          <w:szCs w:val="24"/>
        </w:rPr>
        <w:t>Prieto López (2017, p.360) afirma que cualquier lenguaje se compone de signos que remiten (significan) a algo real (plano semántico) y de reglas lógicas de conjunción de los propios signos (plano de la sintaxis), el lenguaje tiene como razón de ser la significación de algo, y en subordinación a esta función primordial de naturaleza semántica se coloca la sintaxis. Y continúa diciendo que el lenguaje se compone de tres dimensiones: una dimensión sintáctica (o formal), otra dimensión semántica (o extensional) y finalmente una tercera dimensión reflexiva (o intensional), dimensión propia del lenguaje intencional.</w:t>
      </w:r>
    </w:p>
    <w:p w14:paraId="646DDBB5" w14:textId="77777777" w:rsidR="0093626A" w:rsidRDefault="00000000" w:rsidP="005915A7">
      <w:pPr>
        <w:spacing w:line="360" w:lineRule="auto"/>
        <w:ind w:firstLine="708"/>
        <w:jc w:val="both"/>
        <w:rPr>
          <w:rFonts w:ascii="Arial" w:eastAsia="Calibri" w:hAnsi="Arial" w:cs="Arial"/>
          <w:sz w:val="24"/>
          <w:szCs w:val="24"/>
        </w:rPr>
      </w:pPr>
      <w:r>
        <w:rPr>
          <w:rFonts w:ascii="Arial" w:eastAsia="Calibri" w:hAnsi="Arial" w:cs="Arial"/>
          <w:sz w:val="24"/>
          <w:szCs w:val="24"/>
        </w:rPr>
        <w:t>El mismo Prieto López (2017, p. 361) comenta que la filosofía analítica apoya la noción del lenguaje intencional y su reflexividad, pues el lenguaje que se expresa en la fuerza asertiva, frente al contenido proposicional, de naturaleza semántica. Contenido proposicional (o aspecto semántico) y fuerza asertiva (aspecto reflexivo) constituyen las dos dimensiones propias del lenguaje humano. Por otro lado, J.L. Asutin citado por Prieto López refiere que lo propio del aspecto reflexivo (también llamado aspecto pragmático) es permitir hacer cosas con palabras.</w:t>
      </w:r>
    </w:p>
    <w:p w14:paraId="65929E3F" w14:textId="77777777" w:rsidR="0093626A" w:rsidRDefault="00000000" w:rsidP="005915A7">
      <w:pPr>
        <w:spacing w:line="360" w:lineRule="auto"/>
        <w:ind w:firstLine="708"/>
        <w:jc w:val="both"/>
        <w:rPr>
          <w:rFonts w:ascii="Arial" w:eastAsia="Calibri" w:hAnsi="Arial" w:cs="Arial"/>
          <w:sz w:val="24"/>
          <w:szCs w:val="24"/>
        </w:rPr>
      </w:pPr>
      <w:r>
        <w:rPr>
          <w:rFonts w:ascii="Arial" w:eastAsia="Calibri" w:hAnsi="Arial" w:cs="Arial"/>
          <w:sz w:val="24"/>
          <w:szCs w:val="24"/>
        </w:rPr>
        <w:t>Prieto López (2017, p. 362) cierra esta argumentación recordando que el conocimiento humano, en cuanto conocimiento intensional, es abstracto, conoce esencialmente; pero, además, es reflexivo: conoce que conoce, o que no conoce, o que no está cierto, o que duda, o que no quiere, etc. Es decir, conoce algo de sí mismo y no sólo de las cosas. Ahora bien, la reflexividad es una nota típica del alma espiritual y de sus potencias: la inteligencia y la voluntad.</w:t>
      </w:r>
    </w:p>
    <w:p w14:paraId="239F8E9F" w14:textId="77777777" w:rsidR="0093626A" w:rsidRDefault="00000000" w:rsidP="005915A7">
      <w:pPr>
        <w:spacing w:line="360" w:lineRule="auto"/>
        <w:ind w:firstLine="708"/>
        <w:jc w:val="both"/>
        <w:rPr>
          <w:rFonts w:ascii="Arial" w:eastAsia="Calibri" w:hAnsi="Arial" w:cs="Arial"/>
          <w:b/>
          <w:bCs/>
          <w:sz w:val="24"/>
          <w:szCs w:val="24"/>
        </w:rPr>
      </w:pPr>
      <w:r>
        <w:rPr>
          <w:rFonts w:ascii="Arial" w:eastAsia="Calibri" w:hAnsi="Arial" w:cs="Arial"/>
          <w:b/>
          <w:bCs/>
          <w:sz w:val="24"/>
          <w:szCs w:val="24"/>
        </w:rPr>
        <w:t>Teoría clásica</w:t>
      </w:r>
    </w:p>
    <w:p w14:paraId="3B2F312B" w14:textId="77777777" w:rsidR="0093626A" w:rsidRDefault="00000000" w:rsidP="005915A7">
      <w:pPr>
        <w:spacing w:line="360" w:lineRule="auto"/>
        <w:jc w:val="both"/>
        <w:rPr>
          <w:rFonts w:ascii="Arial" w:eastAsia="Calibri" w:hAnsi="Arial" w:cs="Arial"/>
          <w:sz w:val="24"/>
          <w:szCs w:val="24"/>
        </w:rPr>
      </w:pPr>
      <w:r>
        <w:rPr>
          <w:rFonts w:ascii="Arial" w:eastAsia="Calibri" w:hAnsi="Arial" w:cs="Arial"/>
          <w:sz w:val="24"/>
          <w:szCs w:val="24"/>
        </w:rPr>
        <w:tab/>
        <w:t>Por su parte, yendo de la mano de José M. Lázaro (1997) y Benlloch Ibarra &amp; Tejedor Campomanes (2005) con relación a la lógica del concepto, puede decirse lo siguiente:</w:t>
      </w:r>
    </w:p>
    <w:p w14:paraId="1C7E1C6F" w14:textId="77777777" w:rsidR="0093626A" w:rsidRDefault="00000000" w:rsidP="005915A7">
      <w:pPr>
        <w:spacing w:line="360" w:lineRule="auto"/>
        <w:ind w:firstLine="708"/>
        <w:jc w:val="both"/>
        <w:rPr>
          <w:rFonts w:ascii="Arial" w:eastAsia="Calibri" w:hAnsi="Arial" w:cs="Arial"/>
          <w:sz w:val="24"/>
          <w:szCs w:val="24"/>
        </w:rPr>
      </w:pPr>
      <w:r>
        <w:rPr>
          <w:rFonts w:ascii="Arial" w:eastAsia="Calibri" w:hAnsi="Arial" w:cs="Arial"/>
          <w:sz w:val="24"/>
          <w:szCs w:val="24"/>
        </w:rPr>
        <w:lastRenderedPageBreak/>
        <w:t xml:space="preserve">El concepto es el resultado de la abstracción, por tanto, es universal y se expresa a través de los términos. Los términos son particulares, es decir, son la representación lingüística del concepto, son la puerta de acceso al interior del concepto, a su contenido. Los términos al ser particulares son cambiantes y se componen de signos. Un signo es la representación de un concepto elemental, por ejemplo, la “a” es el signo de un determinando sonido, el “1” es el signo de una sola unidad, o el dibujo de un árbol es el referente de un elemento real. Los símbolos por otro lado son o bien conjuntos de signos que conforman una idea compleja, o por otro lado una representación sencilla pero cuyo contenido es complejo. Por ejemplo: la palabra “nada” es el símbolo de la ausencia, pues la ausencia significa que debería haber algo y no lo está; caso similar es el “0” pues a diferencia del “1” que representa una sola unidad, el “0” representa precisamente la ausencia de una sola unidad, o de la unidad relacionada consigo misma “n” cantidad de veces; por otro lado, la cruz en el cristianismo también es un símbolo por todas las significaciones que hay detrás de ella; y finalmente, una definición también podría ser clasificada como un símbolo porque “animal político” es una conceptualización  porque es la esencia del ser humano y de extirparle alguno de sus términos su significado cambia radicalmente. </w:t>
      </w:r>
    </w:p>
    <w:p w14:paraId="2D1591B0" w14:textId="77777777" w:rsidR="0093626A" w:rsidRDefault="00000000" w:rsidP="005915A7">
      <w:pPr>
        <w:spacing w:line="360" w:lineRule="auto"/>
        <w:ind w:firstLine="708"/>
        <w:jc w:val="both"/>
        <w:rPr>
          <w:rFonts w:ascii="Arial" w:eastAsia="Calibri" w:hAnsi="Arial" w:cs="Arial"/>
          <w:sz w:val="24"/>
          <w:szCs w:val="24"/>
        </w:rPr>
      </w:pPr>
      <w:r>
        <w:rPr>
          <w:rFonts w:ascii="Arial" w:eastAsia="Calibri" w:hAnsi="Arial" w:cs="Arial"/>
          <w:sz w:val="24"/>
          <w:szCs w:val="24"/>
        </w:rPr>
        <w:t>De esta manera se puede decir que el concepto ciencia en griego antiguo era expresado con el término “episteme,” en latín con “scientia” y en alemán como Wissenschaft, sin embargo, el contenido conceptual es precisamente el de un conocimiento racional cierto por sus causas. Por tanto, el término es la representación y el concepto el significado, lo cual, no está en desacuerdo con las teorías del lenguaje contemporáneas porque la particularidad del término es la que depende del contexto histórico social -de allí su mutabilidad- pero el significado goza de mayor constancia.</w:t>
      </w:r>
    </w:p>
    <w:p w14:paraId="2F82CBBB" w14:textId="77777777" w:rsidR="0093626A" w:rsidRDefault="00000000" w:rsidP="005915A7">
      <w:pPr>
        <w:spacing w:line="360" w:lineRule="auto"/>
        <w:ind w:firstLine="708"/>
        <w:jc w:val="both"/>
        <w:rPr>
          <w:rFonts w:ascii="Arial" w:eastAsia="Calibri" w:hAnsi="Arial" w:cs="Arial"/>
          <w:sz w:val="24"/>
          <w:szCs w:val="24"/>
        </w:rPr>
      </w:pPr>
      <w:r>
        <w:rPr>
          <w:rFonts w:ascii="Arial" w:eastAsia="Calibri" w:hAnsi="Arial" w:cs="Arial"/>
          <w:sz w:val="24"/>
          <w:szCs w:val="24"/>
        </w:rPr>
        <w:t>La pregunta clave aquí es ¿puede un ente informático interpretar?</w:t>
      </w:r>
    </w:p>
    <w:p w14:paraId="6B6F1C49" w14:textId="77777777" w:rsidR="0093626A" w:rsidRDefault="00000000" w:rsidP="005915A7">
      <w:pPr>
        <w:spacing w:line="360" w:lineRule="auto"/>
        <w:ind w:firstLine="708"/>
        <w:jc w:val="both"/>
        <w:rPr>
          <w:rFonts w:ascii="Arial" w:eastAsia="Calibri" w:hAnsi="Arial" w:cs="Arial"/>
          <w:b/>
          <w:bCs/>
          <w:sz w:val="24"/>
          <w:szCs w:val="24"/>
        </w:rPr>
      </w:pPr>
      <w:r>
        <w:rPr>
          <w:rFonts w:ascii="Arial" w:eastAsia="Calibri" w:hAnsi="Arial" w:cs="Arial"/>
          <w:b/>
          <w:bCs/>
          <w:sz w:val="24"/>
          <w:szCs w:val="24"/>
        </w:rPr>
        <w:t>Tercera argumentación: Gnoseología</w:t>
      </w:r>
    </w:p>
    <w:p w14:paraId="209D13F5" w14:textId="77777777" w:rsidR="0093626A" w:rsidRDefault="00000000" w:rsidP="005915A7">
      <w:pPr>
        <w:spacing w:line="360" w:lineRule="auto"/>
        <w:ind w:firstLine="708"/>
        <w:jc w:val="both"/>
        <w:rPr>
          <w:rFonts w:ascii="Arial" w:eastAsia="Calibri" w:hAnsi="Arial" w:cs="Arial"/>
          <w:sz w:val="24"/>
          <w:szCs w:val="24"/>
        </w:rPr>
      </w:pPr>
      <w:r>
        <w:rPr>
          <w:rFonts w:ascii="Arial" w:eastAsia="Calibri" w:hAnsi="Arial" w:cs="Arial"/>
          <w:sz w:val="24"/>
          <w:szCs w:val="24"/>
        </w:rPr>
        <w:t xml:space="preserve">¿Por qué gnoseología? Parret </w:t>
      </w:r>
      <w:sdt>
        <w:sdtPr>
          <w:rPr>
            <w:rFonts w:ascii="Arial" w:eastAsia="Calibri" w:hAnsi="Arial" w:cs="Arial"/>
            <w:sz w:val="24"/>
            <w:szCs w:val="24"/>
          </w:rPr>
          <w:id w:val="477882502"/>
        </w:sdtPr>
        <w:sdtContent>
          <w:r>
            <w:rPr>
              <w:rFonts w:ascii="Arial" w:eastAsia="Calibri" w:hAnsi="Arial" w:cs="Arial"/>
              <w:sz w:val="24"/>
              <w:szCs w:val="24"/>
            </w:rPr>
            <w:fldChar w:fldCharType="begin"/>
          </w:r>
          <w:r>
            <w:rPr>
              <w:rFonts w:ascii="Arial" w:eastAsia="Calibri" w:hAnsi="Arial" w:cs="Arial"/>
              <w:sz w:val="24"/>
              <w:szCs w:val="24"/>
            </w:rPr>
            <w:instrText xml:space="preserve">CITATION Par90 \n  \t  \l 2058 </w:instrText>
          </w:r>
          <w:r>
            <w:rPr>
              <w:rFonts w:ascii="Arial" w:eastAsia="Calibri" w:hAnsi="Arial" w:cs="Arial"/>
              <w:sz w:val="24"/>
              <w:szCs w:val="24"/>
            </w:rPr>
            <w:fldChar w:fldCharType="separate"/>
          </w:r>
          <w:r>
            <w:rPr>
              <w:rFonts w:ascii="Arial" w:eastAsia="Calibri" w:hAnsi="Arial" w:cs="Arial"/>
              <w:sz w:val="24"/>
              <w:szCs w:val="24"/>
            </w:rPr>
            <w:t>(1990)</w:t>
          </w:r>
          <w:r>
            <w:rPr>
              <w:rFonts w:ascii="Arial" w:eastAsia="Calibri" w:hAnsi="Arial" w:cs="Arial"/>
              <w:sz w:val="24"/>
              <w:szCs w:val="24"/>
            </w:rPr>
            <w:fldChar w:fldCharType="end"/>
          </w:r>
        </w:sdtContent>
      </w:sdt>
      <w:r>
        <w:rPr>
          <w:rFonts w:ascii="Arial" w:eastAsia="Calibri" w:hAnsi="Arial" w:cs="Arial"/>
          <w:sz w:val="24"/>
          <w:szCs w:val="24"/>
        </w:rPr>
        <w:t xml:space="preserve"> comenta que en la filosofía alemana Alexander Gottlieb Baumgarten en un tratado de estética acuñó el neologismo </w:t>
      </w:r>
      <w:r>
        <w:rPr>
          <w:rFonts w:ascii="Arial" w:eastAsia="Calibri" w:hAnsi="Arial" w:cs="Arial"/>
          <w:sz w:val="24"/>
          <w:szCs w:val="24"/>
        </w:rPr>
        <w:lastRenderedPageBreak/>
        <w:t>“gnoseología menor” la cual se conoce actualmente como “teoría del conocimiento,” pero que en su momento fue una idea revolucionaria al grado de que el mismo Kant dio continuidad a esa noción en su Crítica de la Razón Pura al discutir la “gnoseología mayor.” Por tanto, la gnoseología menor, o estética era aquella propia de los sentidos y la cual es esencial para el arte; mientras, la gnoseología mayor era aquella propia de la razón pura y dado que la ciencia se consolida en el razonamiento la gnoseología mayor se convirtió en el área de la filosofía encargada de validar el conocimiento racional y por ende científico-filosófico. Años después, el escocés James Frederick Ferrier influenciado por la línea empirista introduciría el término epistemología también como un área de la filosofía encargada de la validación del conocimiento científico</w:t>
      </w:r>
      <w:sdt>
        <w:sdtPr>
          <w:rPr>
            <w:rFonts w:ascii="Arial" w:eastAsia="Calibri" w:hAnsi="Arial" w:cs="Arial"/>
            <w:sz w:val="24"/>
            <w:szCs w:val="24"/>
          </w:rPr>
          <w:id w:val="-1129475151"/>
        </w:sdtPr>
        <w:sdtContent>
          <w:r>
            <w:rPr>
              <w:rFonts w:ascii="Arial" w:eastAsia="Calibri" w:hAnsi="Arial" w:cs="Arial"/>
              <w:sz w:val="24"/>
              <w:szCs w:val="24"/>
            </w:rPr>
            <w:fldChar w:fldCharType="begin"/>
          </w:r>
          <w:r>
            <w:rPr>
              <w:rFonts w:ascii="Arial" w:eastAsia="Calibri" w:hAnsi="Arial" w:cs="Arial"/>
              <w:sz w:val="24"/>
              <w:szCs w:val="24"/>
            </w:rPr>
            <w:instrText xml:space="preserve"> CITATION Aba91 \l 2058 </w:instrText>
          </w:r>
          <w:r>
            <w:rPr>
              <w:rFonts w:ascii="Arial" w:eastAsia="Calibri" w:hAnsi="Arial" w:cs="Arial"/>
              <w:sz w:val="24"/>
              <w:szCs w:val="24"/>
            </w:rPr>
            <w:fldChar w:fldCharType="separate"/>
          </w:r>
          <w:r>
            <w:rPr>
              <w:rFonts w:ascii="Arial" w:eastAsia="Calibri" w:hAnsi="Arial" w:cs="Arial"/>
              <w:sz w:val="24"/>
              <w:szCs w:val="24"/>
            </w:rPr>
            <w:t xml:space="preserve"> (Abarca Fernández, 1991)</w:t>
          </w:r>
          <w:r>
            <w:rPr>
              <w:rFonts w:ascii="Arial" w:eastAsia="Calibri" w:hAnsi="Arial" w:cs="Arial"/>
              <w:sz w:val="24"/>
              <w:szCs w:val="24"/>
            </w:rPr>
            <w:fldChar w:fldCharType="end"/>
          </w:r>
        </w:sdtContent>
      </w:sdt>
      <w:r>
        <w:rPr>
          <w:rFonts w:ascii="Arial" w:eastAsia="Calibri" w:hAnsi="Arial" w:cs="Arial"/>
          <w:sz w:val="24"/>
          <w:szCs w:val="24"/>
        </w:rPr>
        <w:t>.</w:t>
      </w:r>
    </w:p>
    <w:p w14:paraId="45136629" w14:textId="77777777" w:rsidR="0093626A" w:rsidRDefault="00000000" w:rsidP="005915A7">
      <w:pPr>
        <w:spacing w:line="360" w:lineRule="auto"/>
        <w:ind w:firstLine="708"/>
        <w:jc w:val="both"/>
        <w:rPr>
          <w:rFonts w:ascii="Arial" w:eastAsia="Calibri" w:hAnsi="Arial" w:cs="Arial"/>
          <w:sz w:val="24"/>
          <w:szCs w:val="24"/>
        </w:rPr>
      </w:pPr>
      <w:r>
        <w:rPr>
          <w:rFonts w:ascii="Arial" w:eastAsia="Calibri" w:hAnsi="Arial" w:cs="Arial"/>
          <w:sz w:val="24"/>
          <w:szCs w:val="24"/>
        </w:rPr>
        <w:t xml:space="preserve">En este documento interesan las operaciones senso-intelectuales que en su momento comenzaron a configurar la gnoseología ¿Qué es una argumentación gnoseológica? El andamiaje científico contemporáneo se ha complejizado con nuevas áreas de estudio sobre la naturaleza del propio conocimiento, en esta complejidad han surgido áreas tales como la epistemología, gnoseología-teoría del conocimiento y filosofía de la ciencia; la definición de estas e incluso su existencia y validez depende de la doctrina filosófica de la cual nacieron y con las que tengan compatibilidad metodológico-ontológica. La cuestión es que estas tres áreas mencionadas versan sobre lo mismo: la validación y dictaminación-declaración-definición de sobre qué es el conocimiento científico; sin embargo, en este caso, la gnoseología tiene una naturaleza más dinámica que las otras dos porque se adentra en el proceso mismo del que conoce, es decir, antes de preocuparse por responder a “qué es el conocimiento científico” se ocupa de definir qué es el conocimiento desde las propias facultades del cognoscente. </w:t>
      </w:r>
    </w:p>
    <w:p w14:paraId="144309AA" w14:textId="77777777" w:rsidR="0093626A" w:rsidRDefault="00000000" w:rsidP="005915A7">
      <w:pPr>
        <w:spacing w:line="360" w:lineRule="auto"/>
        <w:ind w:firstLine="708"/>
        <w:jc w:val="both"/>
        <w:rPr>
          <w:rFonts w:ascii="Arial" w:eastAsia="Calibri" w:hAnsi="Arial" w:cs="Arial"/>
          <w:sz w:val="24"/>
          <w:szCs w:val="24"/>
        </w:rPr>
      </w:pPr>
      <w:r>
        <w:rPr>
          <w:rFonts w:ascii="Arial" w:eastAsia="Calibri" w:hAnsi="Arial" w:cs="Arial"/>
          <w:sz w:val="24"/>
          <w:szCs w:val="24"/>
        </w:rPr>
        <w:t xml:space="preserve">Es por lo anterior que esta cuarta argumentación es de naturaleza gnoseológica, pues en ese proceso de conocer del cognoscente surge el estudio de la conciencia la cual es clave para responder a lo planteado en este documento. Así que, para comenzar lo primero es responder a ¿qué es el conocimiento? Siguiendo la tradición tomista, Carlos Kramsky (1997, pp. 59-61) define que es una noción </w:t>
      </w:r>
      <w:r>
        <w:rPr>
          <w:rFonts w:ascii="Arial" w:eastAsia="Calibri" w:hAnsi="Arial" w:cs="Arial"/>
          <w:sz w:val="24"/>
          <w:szCs w:val="24"/>
        </w:rPr>
        <w:lastRenderedPageBreak/>
        <w:t>primera o primaria de uso frecuente y que sirve para entender y denominar una pluralidad considerable de actividades vitales, por lo tanto, es una correlación entre sujeto y objeto. El sujeto capta al ente (objeto), y el ente es captado por el sujeto, si falta alguno de ellos no hay conocimiento. El sujeto cognoscente objetiva, es decir, conforma (con-formar, formar-con), apunta hacia lo real para poseerlo cognoscitivamente. Por su lado, el ente conocido especifica el conocimiento proporcionándole un contenido.</w:t>
      </w:r>
    </w:p>
    <w:p w14:paraId="6AD67F45" w14:textId="77777777" w:rsidR="0093626A" w:rsidRDefault="00000000" w:rsidP="005915A7">
      <w:pPr>
        <w:spacing w:line="360" w:lineRule="auto"/>
        <w:ind w:firstLine="708"/>
        <w:jc w:val="both"/>
        <w:rPr>
          <w:rFonts w:ascii="Arial" w:eastAsia="Calibri" w:hAnsi="Arial" w:cs="Arial"/>
          <w:sz w:val="24"/>
          <w:szCs w:val="24"/>
        </w:rPr>
      </w:pPr>
      <w:r>
        <w:rPr>
          <w:rFonts w:ascii="Arial" w:eastAsia="Calibri" w:hAnsi="Arial" w:cs="Arial"/>
          <w:sz w:val="24"/>
          <w:szCs w:val="24"/>
        </w:rPr>
        <w:t xml:space="preserve">Cabe recordar que en las doctrinas aristotélica y tomista parten del acto y la potencia, por tanto, a la hora de abordar el conocimiento se tienen facultades, operaciones y productos, siendo las facultades aquello dado por naturaleza, las operaciones son las facultades en acción y el producto es el resultado de haber activado las facultades. Ejemplificando se tiene entonces que sensorialmente una cosa es contar con la facultad de ver, otra cuestión es “estar viendo” y una última es “lo visto;” intelectualmente se dice que una cuestión es contar con la facultad “intelectiva,” otra es “estar inteligiendo” y otra cuestión es “lo inteligido;” en un tercer sentido se dice que, una cuestión es “poder conocer,” otra es “estar conociendo” y una última es lo “conocido, el conocimiento.” </w:t>
      </w:r>
    </w:p>
    <w:p w14:paraId="41DD62F7" w14:textId="77777777" w:rsidR="0093626A" w:rsidRDefault="00000000" w:rsidP="005915A7">
      <w:pPr>
        <w:spacing w:line="360" w:lineRule="auto"/>
        <w:ind w:firstLine="708"/>
        <w:jc w:val="both"/>
        <w:rPr>
          <w:rFonts w:ascii="Arial" w:eastAsia="Calibri" w:hAnsi="Arial" w:cs="Arial"/>
          <w:sz w:val="24"/>
          <w:szCs w:val="24"/>
        </w:rPr>
      </w:pPr>
      <w:r>
        <w:rPr>
          <w:rFonts w:ascii="Arial" w:eastAsia="Calibri" w:hAnsi="Arial" w:cs="Arial"/>
          <w:sz w:val="24"/>
          <w:szCs w:val="24"/>
        </w:rPr>
        <w:t xml:space="preserve">¿Qué es la inteligencia y por qué está ligada a la consciencia? La etimología de inteligencia “intellegere” hace referencia a la capacidad de discernimiento y elección más apropiada entre dos o varias opciones de acuerdo con un contexto, la pregunta es ¿quién elige y con base en qué? Para responder lo anterior es importante comprender el proceso de abstracción. José M. Lázaro (1997, pp.25-30) y Kramsky (1997, pp.197-198) explican desde la tradición aristotélica que la abstracción es la “desmaterialización” de lo conocido, es decir, el ser humano al ser un “animal racional” conoce a través de sus sentidos, por tanto, cuenta con un conocimiento “sensorial.” El conocimiento sensorial comienza con los 5 sentidos -tacto, vista, olfato, oído y gusto- por ello son los estímulos “nerviosos” por eso de lo dicho por Kramsky (1997) se sugiere equipararlo con el Sistema Nervioso Periférico; sin embargo, una cuestión es la “intuición/estímulo” sensorial primario llamado en la tradición aristotélico-tomista como sensación y otra muy diferente es “sintetizar” </w:t>
      </w:r>
      <w:r>
        <w:rPr>
          <w:rFonts w:ascii="Arial" w:eastAsia="Calibri" w:hAnsi="Arial" w:cs="Arial"/>
          <w:sz w:val="24"/>
          <w:szCs w:val="24"/>
        </w:rPr>
        <w:lastRenderedPageBreak/>
        <w:t>esas sensaciones. Lázaro (1997, pp. 25-26) menciona como el “sentido sintético y Kramsky (1997, pp.99-104) de forma más tradicional como “sentido común” a aquella facultad del ser humano que sintetiza todas esas sensaciones en “representaciones,” que en otros autores suelen llamar “percepción.” ¿Cuál es la función con de la representación con relación a la abstracción? Que las representaciones son una preparación para la abstracción del conocimiento, es decir, para una desmaterialización de lo conocido, y en este sentido, de acuerdo con lo dicho por Kramsky (1997) se puede equiparar con el Sistema Nervioso Central.</w:t>
      </w:r>
    </w:p>
    <w:p w14:paraId="652A82F5" w14:textId="77777777" w:rsidR="0093626A" w:rsidRDefault="00000000" w:rsidP="005915A7">
      <w:pPr>
        <w:spacing w:line="360" w:lineRule="auto"/>
        <w:ind w:firstLine="708"/>
        <w:jc w:val="both"/>
        <w:rPr>
          <w:rFonts w:ascii="Arial" w:eastAsia="Calibri" w:hAnsi="Arial" w:cs="Arial"/>
          <w:sz w:val="24"/>
          <w:szCs w:val="24"/>
        </w:rPr>
      </w:pPr>
      <w:r>
        <w:rPr>
          <w:rFonts w:ascii="Arial" w:eastAsia="Calibri" w:hAnsi="Arial" w:cs="Arial"/>
          <w:sz w:val="24"/>
          <w:szCs w:val="24"/>
        </w:rPr>
        <w:t xml:space="preserve">¿Por qué la abstracción es una desmaterialización? Siguiendo la tradición hilemórfica de Aristóteles y Tomás de Aquino, el ser humano cuenta con una dimensión inmaterial, “el alma” y dada su inmaterialidad no responde a las fuerzas de la naturaleza. Por tanto, dado que desde Platón se le atribuye al “alma humana” la naturaleza racional el alma tiene que “asimilar” a sí misma el conocimiento para procesarlo, es decir, el ser humano para conocer racionalmente debe “desmaterializar, abstraer, conceptualizar” las representaciones, a ese proceso de “leer dentro de las representaciones y conceptualizarlas” es el intilegir y posteriormente la intelección. </w:t>
      </w:r>
    </w:p>
    <w:p w14:paraId="2AEEDA0E" w14:textId="77777777" w:rsidR="0093626A" w:rsidRDefault="00000000" w:rsidP="005915A7">
      <w:pPr>
        <w:spacing w:line="360" w:lineRule="auto"/>
        <w:ind w:firstLine="708"/>
        <w:jc w:val="both"/>
        <w:rPr>
          <w:rFonts w:ascii="Arial" w:eastAsia="Calibri" w:hAnsi="Arial" w:cs="Arial"/>
          <w:sz w:val="24"/>
          <w:szCs w:val="24"/>
        </w:rPr>
      </w:pPr>
      <w:r>
        <w:rPr>
          <w:rFonts w:ascii="Arial" w:eastAsia="Calibri" w:hAnsi="Arial" w:cs="Arial"/>
          <w:sz w:val="24"/>
          <w:szCs w:val="24"/>
        </w:rPr>
        <w:t>Sin embargo ¿“quién” se da cuenta de que por sí mismo se puede inteligir, conocer, de que está conociendo, de que ha acumulado conocimiento? es aquí donde la conciencia cobra relevancia pues es precisamente a través de la consciencia “que se sabe, que se sabe.”</w:t>
      </w:r>
    </w:p>
    <w:p w14:paraId="283017E4" w14:textId="77777777" w:rsidR="0093626A" w:rsidRDefault="00000000" w:rsidP="005915A7">
      <w:pPr>
        <w:spacing w:line="360" w:lineRule="auto"/>
        <w:ind w:firstLine="708"/>
        <w:jc w:val="both"/>
        <w:rPr>
          <w:rFonts w:ascii="Arial" w:eastAsia="Calibri" w:hAnsi="Arial" w:cs="Arial"/>
          <w:sz w:val="24"/>
          <w:szCs w:val="24"/>
        </w:rPr>
      </w:pPr>
      <w:r>
        <w:rPr>
          <w:rFonts w:ascii="Arial" w:eastAsia="Calibri" w:hAnsi="Arial" w:cs="Arial"/>
          <w:sz w:val="24"/>
          <w:szCs w:val="24"/>
        </w:rPr>
        <w:t>Con relación a la conciencia se tienen dos posturas principalmente, la perspectiva producto del idealismo alemán y la perspectiva clásica, o antigua. A continuación, se exponen ambas posturas con la intención aclarar la relación inteligencia-consiencia.</w:t>
      </w:r>
    </w:p>
    <w:p w14:paraId="58114045" w14:textId="77777777" w:rsidR="0093626A" w:rsidRDefault="00000000" w:rsidP="005915A7">
      <w:pPr>
        <w:spacing w:line="360" w:lineRule="auto"/>
        <w:ind w:firstLine="708"/>
        <w:jc w:val="both"/>
        <w:rPr>
          <w:rFonts w:ascii="Arial" w:eastAsia="Calibri" w:hAnsi="Arial" w:cs="Arial"/>
          <w:sz w:val="24"/>
          <w:szCs w:val="24"/>
        </w:rPr>
      </w:pPr>
      <w:r>
        <w:rPr>
          <w:rFonts w:ascii="Arial" w:eastAsia="Calibri" w:hAnsi="Arial" w:cs="Arial"/>
          <w:sz w:val="24"/>
          <w:szCs w:val="24"/>
        </w:rPr>
        <w:t xml:space="preserve">Estudiando a Hegel, Daniel Pérez Castro (2010) comenta que la conciencia busca la verdad del objeto frente a ella, para lograr tal cometido tiene que superar tres etapas: la certeza sensible, la percepción y el entendimiento. La certeza sensible es un primer conocimiento pobre y abstracto que genera una multitud de perspectivas; la percepción es la que al objeto que tiene lo clasifica como una “cosa” </w:t>
      </w:r>
      <w:r>
        <w:rPr>
          <w:rFonts w:ascii="Arial" w:eastAsia="Calibri" w:hAnsi="Arial" w:cs="Arial"/>
          <w:sz w:val="24"/>
          <w:szCs w:val="24"/>
        </w:rPr>
        <w:lastRenderedPageBreak/>
        <w:t>al ser reconocerlo como una unidad de múltiples propiedades; mientras que el entendimiento es un acto reflejo al mirarse a sí mismo a través del objeto. Por esta razón, la conciencia está detrás de las cosas y se transforma entonces en el deseo de un “yo” que quiere ser conocido por un otro “yo” que debe reconocerle.</w:t>
      </w:r>
    </w:p>
    <w:p w14:paraId="28DB8AFB" w14:textId="77777777" w:rsidR="0093626A" w:rsidRDefault="00000000" w:rsidP="005915A7">
      <w:pPr>
        <w:spacing w:line="360" w:lineRule="auto"/>
        <w:ind w:firstLine="708"/>
        <w:jc w:val="both"/>
        <w:rPr>
          <w:rFonts w:ascii="Arial" w:eastAsia="Calibri" w:hAnsi="Arial" w:cs="Arial"/>
          <w:sz w:val="24"/>
          <w:szCs w:val="24"/>
        </w:rPr>
      </w:pPr>
      <w:r>
        <w:rPr>
          <w:rFonts w:ascii="Arial" w:eastAsia="Calibri" w:hAnsi="Arial" w:cs="Arial"/>
          <w:sz w:val="24"/>
          <w:szCs w:val="24"/>
        </w:rPr>
        <w:t>Heinrich Hüni (2011) estudiando a Hegel también sostiene que la conciencia se descubre a sí misma mediante la reflexión, es decir, el retorno a sí misma a partir de la objetividad, por eso, el saber no es un objeto si no un proceso originado por el comportamiento de quien está conociendo. Es así como el entendimiento aspira al conocimiento superando la percepción de lo particular y lo actual, en autoconsciencia es el “yo” puro que está superando todo, es el “yo” del “yo” y a pesar de que siempre está allí sólo se hace autoconsciente en la oposición y como movimiento hacia ella misma lo que es su deseo. El “yo” encuentra su propia vitalidad mediante la autoconsciencia.</w:t>
      </w:r>
    </w:p>
    <w:p w14:paraId="096F98F4" w14:textId="77777777" w:rsidR="0093626A" w:rsidRDefault="00000000" w:rsidP="005915A7">
      <w:pPr>
        <w:spacing w:line="360" w:lineRule="auto"/>
        <w:ind w:firstLine="708"/>
        <w:jc w:val="both"/>
        <w:rPr>
          <w:rFonts w:ascii="Arial" w:eastAsia="Calibri" w:hAnsi="Arial" w:cs="Arial"/>
          <w:sz w:val="24"/>
          <w:szCs w:val="24"/>
        </w:rPr>
      </w:pPr>
      <w:r>
        <w:rPr>
          <w:rFonts w:ascii="Arial" w:eastAsia="Calibri" w:hAnsi="Arial" w:cs="Arial"/>
          <w:sz w:val="24"/>
          <w:szCs w:val="24"/>
        </w:rPr>
        <w:t>A través de la fenomenología del espíritu Hegel posicionó a la conciencia-autoconsciencia en un lugar que no había tenido antes, ni siquiera en el racionalismo cartesiano, cuyo punto de partida esa “cosa que piensa-.” Indudablemente las corrientes filosóficas posteriores y hasta nuestros días ya no podrán desvincularse del idealismo alemán, por tanto, a pesar de que Brentano o Husserl quisieran contrarrestar el idealismo con su afán de experimentación, o de conocer al fenómeno en sí, no les sería posible desvincularse de las nociones de conciencia y autoconciencia hegelianas.</w:t>
      </w:r>
    </w:p>
    <w:p w14:paraId="194B6CFC" w14:textId="77777777" w:rsidR="0093626A" w:rsidRDefault="00000000" w:rsidP="005915A7">
      <w:pPr>
        <w:spacing w:line="360" w:lineRule="auto"/>
        <w:ind w:firstLine="708"/>
        <w:jc w:val="both"/>
        <w:rPr>
          <w:rFonts w:ascii="Arial" w:eastAsia="Calibri" w:hAnsi="Arial" w:cs="Arial"/>
          <w:sz w:val="24"/>
          <w:szCs w:val="24"/>
        </w:rPr>
      </w:pPr>
      <w:r>
        <w:rPr>
          <w:rFonts w:ascii="Arial" w:eastAsia="Calibri" w:hAnsi="Arial" w:cs="Arial"/>
          <w:sz w:val="24"/>
          <w:szCs w:val="24"/>
        </w:rPr>
        <w:t>De esta manera, Torrez (2016, pp. 17-18) explica que Franz Brentano en su afán por imprimir una dimensión experimental comenzó a hablar de “Psicología Genética o explicativa” y “Psicología empírica o cognitiva” lo que hoy en día equivaldría a “Psicología Descriptiva” y “Filosofía de la mente” o “Psicología Filosófica.”  Brentano decidió trabajar mediante la Psicología Descriptiva, o Filosofía de la Mente porque buscaba entender el fenómeno mental, es decir, el acto mental y su objeto, pues para el filósofo la “Intencionalidad de la Conciencia” no era lo mismo que la “Referencia Intencional de los Actos de la Conciencia.”</w:t>
      </w:r>
    </w:p>
    <w:p w14:paraId="7DA0B6B1" w14:textId="77777777" w:rsidR="0093626A" w:rsidRDefault="00000000" w:rsidP="005915A7">
      <w:pPr>
        <w:spacing w:line="360" w:lineRule="auto"/>
        <w:ind w:firstLine="708"/>
        <w:jc w:val="both"/>
        <w:rPr>
          <w:rFonts w:ascii="Arial" w:eastAsia="Calibri" w:hAnsi="Arial" w:cs="Arial"/>
          <w:sz w:val="24"/>
          <w:szCs w:val="24"/>
        </w:rPr>
      </w:pPr>
      <w:r>
        <w:rPr>
          <w:rFonts w:ascii="Arial" w:eastAsia="Calibri" w:hAnsi="Arial" w:cs="Arial"/>
          <w:sz w:val="24"/>
          <w:szCs w:val="24"/>
        </w:rPr>
        <w:lastRenderedPageBreak/>
        <w:t xml:space="preserve">Torrez (2016, p.20) comenta que en su primera postura que data de 1874, Brentano refiere a la intencionalidad de la conciencia como una relación directa que tiende a lo inmanente comenzando por un fenómeno físico que conforma a la conciencia y da lugar a la percepción de naturaleza inmediata, infalible y evidente. Para Brentano, esta percepción era a final de cuentas una relación entre las entidades mentales de la sensación y la cualidad sensible. He aquí una clara conexión con la filosofía hegeliana porque Brentano habla del objeto primario y secundario de la percepción, ejemplificando de la siguiente forma: El primer objeto es el acto de escuchar y el segundo objeto es la reflexión acerca del acto de escuchar. </w:t>
      </w:r>
    </w:p>
    <w:p w14:paraId="198D9884" w14:textId="77777777" w:rsidR="0093626A" w:rsidRDefault="00000000" w:rsidP="005915A7">
      <w:pPr>
        <w:spacing w:line="360" w:lineRule="auto"/>
        <w:ind w:firstLine="708"/>
        <w:jc w:val="both"/>
        <w:rPr>
          <w:rFonts w:ascii="Arial" w:eastAsia="Calibri" w:hAnsi="Arial" w:cs="Arial"/>
          <w:sz w:val="24"/>
          <w:szCs w:val="24"/>
        </w:rPr>
      </w:pPr>
      <w:r>
        <w:rPr>
          <w:rFonts w:ascii="Arial" w:eastAsia="Calibri" w:hAnsi="Arial" w:cs="Arial"/>
          <w:sz w:val="24"/>
          <w:szCs w:val="24"/>
        </w:rPr>
        <w:t>Con relación a Husserl Torrez (2016, p.74) menciona que en el filósofo el concepto de lógica es entendido como la teoría que explica por qué el proceso que lleva hacia el conocimiento debe resultar en conocimiento, en una posesión asegurada de la verdad.</w:t>
      </w:r>
    </w:p>
    <w:p w14:paraId="6820CF4D" w14:textId="664FA2AB" w:rsidR="0093626A" w:rsidRDefault="00000000" w:rsidP="005915A7">
      <w:pPr>
        <w:spacing w:line="360" w:lineRule="auto"/>
        <w:ind w:firstLine="708"/>
        <w:jc w:val="both"/>
        <w:rPr>
          <w:rFonts w:ascii="Arial" w:eastAsia="Calibri" w:hAnsi="Arial" w:cs="Arial"/>
          <w:sz w:val="24"/>
          <w:szCs w:val="24"/>
        </w:rPr>
      </w:pPr>
      <w:r>
        <w:rPr>
          <w:rFonts w:ascii="Arial" w:eastAsia="Calibri" w:hAnsi="Arial" w:cs="Arial"/>
          <w:sz w:val="24"/>
          <w:szCs w:val="24"/>
        </w:rPr>
        <w:t xml:space="preserve">Abbagnano y Visalberghi (1964, pp. 624-626) refieren que en la doctrina fenomenológica el fenómeno es la conciencia del yo que capta una esencia, que para Husserl la intención es la naturaleza misma de la conciencia porque la conciencia es intencionalidad en el estudio de todas las manifestaciones y se transciende a sí misma al relacionarse con el objeto. Por esta razón, hay un fenómeno subjetivo que se caracteriza por una noesis producto de una vivencia del sujeto, y que la direccionalidad del fenómeno da lugar </w:t>
      </w:r>
      <w:r w:rsidR="00456D5C">
        <w:rPr>
          <w:rFonts w:ascii="Arial" w:eastAsia="Calibri" w:hAnsi="Arial" w:cs="Arial"/>
          <w:sz w:val="24"/>
          <w:szCs w:val="24"/>
        </w:rPr>
        <w:t>a la noema</w:t>
      </w:r>
      <w:r>
        <w:rPr>
          <w:rFonts w:ascii="Arial" w:eastAsia="Calibri" w:hAnsi="Arial" w:cs="Arial"/>
          <w:sz w:val="24"/>
          <w:szCs w:val="24"/>
        </w:rPr>
        <w:t xml:space="preserve"> que es lo obtenido del objeto y lo vivido, por ello en Husserl, intuición, evidencia y verdad coinciden.</w:t>
      </w:r>
    </w:p>
    <w:p w14:paraId="4DBDA486" w14:textId="77777777" w:rsidR="0093626A" w:rsidRDefault="00000000" w:rsidP="005915A7">
      <w:pPr>
        <w:spacing w:line="360" w:lineRule="auto"/>
        <w:ind w:firstLine="708"/>
        <w:jc w:val="both"/>
        <w:rPr>
          <w:rFonts w:ascii="Arial" w:eastAsia="Calibri" w:hAnsi="Arial" w:cs="Arial"/>
          <w:sz w:val="24"/>
          <w:szCs w:val="24"/>
        </w:rPr>
      </w:pPr>
      <w:r>
        <w:rPr>
          <w:rFonts w:ascii="Arial" w:eastAsia="Calibri" w:hAnsi="Arial" w:cs="Arial"/>
          <w:sz w:val="24"/>
          <w:szCs w:val="24"/>
        </w:rPr>
        <w:t xml:space="preserve">Gabriel Amengual (2007, p.168) con una influencia claramente husserliana transita el pensamiento clásico de Aristóteles y Santo Tomás, afirmando entonces que la conciencia es el rasgo primario y más esencial de las mentes, siendo la mente un cúmulo de facultades donde imperan conjuntamente la inteligencia y la voluntad. El autor afirma que siguiendo a Aristóteles se tienen distintos estados de conciencia siendo un primer estado el apercibimiento del mundo interior del sujeto, un segundo estado es el direccionamiento de los sentidos y el intelecto, un tercer estado es la </w:t>
      </w:r>
      <w:r>
        <w:rPr>
          <w:rFonts w:ascii="Arial" w:eastAsia="Calibri" w:hAnsi="Arial" w:cs="Arial"/>
          <w:sz w:val="24"/>
          <w:szCs w:val="24"/>
        </w:rPr>
        <w:lastRenderedPageBreak/>
        <w:t>activación de las facultades y un cuarto estado es el apercibimiento del bien y el mal.</w:t>
      </w:r>
    </w:p>
    <w:p w14:paraId="7F5D8390" w14:textId="77777777" w:rsidR="0093626A" w:rsidRDefault="00000000" w:rsidP="005915A7">
      <w:pPr>
        <w:spacing w:line="360" w:lineRule="auto"/>
        <w:ind w:firstLine="708"/>
        <w:jc w:val="both"/>
        <w:rPr>
          <w:rFonts w:ascii="Arial" w:eastAsia="Calibri" w:hAnsi="Arial" w:cs="Arial"/>
          <w:sz w:val="24"/>
          <w:szCs w:val="24"/>
        </w:rPr>
      </w:pPr>
      <w:r>
        <w:rPr>
          <w:rFonts w:ascii="Arial" w:eastAsia="Calibri" w:hAnsi="Arial" w:cs="Arial"/>
          <w:sz w:val="24"/>
          <w:szCs w:val="24"/>
        </w:rPr>
        <w:t xml:space="preserve">Carlos Kramski (1997, pp. 220 - 226) perteneciente a la tradición tomista refiere que en esta tradición la conciencia debe entenderse como un modo característico de conocimiento, el saber que el sujeto (racional) tiene de sí mismo; es importante señalar que se tiene conciencia sensible e intelectual para ello cita la Ética Nicomáquea diciendo “sentimos que sentimos, y pensamos que pensamos” y aclara que no puede sentirse lo que se piensa, aunque sí puede pensarse lo que se siente. Y continúa aclarando que en la conciencia intelectual hay que distinguir la conciencia de los actos y la conciencia del sujeto pues (la conciencia) puede buscar al sujeto próximo del acto, a la facultad, o al sujeto último y radical, el “yo.” </w:t>
      </w:r>
    </w:p>
    <w:p w14:paraId="418D382E" w14:textId="77777777" w:rsidR="0093626A" w:rsidRDefault="00000000" w:rsidP="005915A7">
      <w:pPr>
        <w:spacing w:line="360" w:lineRule="auto"/>
        <w:ind w:firstLine="708"/>
        <w:jc w:val="both"/>
        <w:rPr>
          <w:rFonts w:ascii="Arial" w:eastAsia="Calibri" w:hAnsi="Arial" w:cs="Arial"/>
          <w:sz w:val="24"/>
          <w:szCs w:val="24"/>
        </w:rPr>
      </w:pPr>
      <w:r>
        <w:rPr>
          <w:rFonts w:ascii="Arial" w:eastAsia="Calibri" w:hAnsi="Arial" w:cs="Arial"/>
          <w:sz w:val="24"/>
          <w:szCs w:val="24"/>
        </w:rPr>
        <w:t xml:space="preserve">El mismo Kramsky (1997, p. 222) advierte sobre la dificultad que significa delimitar la conciencia pues a pesar de que está presente de alguna forma en “todo el ser humano” es incapaz de conocerlo todo en el momento, porque, la conciencia de sí mismo es como un punto fijo al que se refieren todos los demás conocimientos que podemos adquirir sobre nosotros mismos, puesto que proporciona a todos los juicios su sujeto: el “yo.” </w:t>
      </w:r>
    </w:p>
    <w:p w14:paraId="61B102C4" w14:textId="77777777" w:rsidR="0093626A" w:rsidRDefault="00000000" w:rsidP="005915A7">
      <w:pPr>
        <w:spacing w:line="360" w:lineRule="auto"/>
        <w:ind w:firstLine="708"/>
        <w:jc w:val="both"/>
        <w:rPr>
          <w:rFonts w:ascii="Arial" w:eastAsia="Calibri" w:hAnsi="Arial" w:cs="Arial"/>
          <w:sz w:val="24"/>
          <w:szCs w:val="24"/>
        </w:rPr>
      </w:pPr>
      <w:r>
        <w:rPr>
          <w:rFonts w:ascii="Arial" w:eastAsia="Calibri" w:hAnsi="Arial" w:cs="Arial"/>
          <w:sz w:val="24"/>
          <w:szCs w:val="24"/>
        </w:rPr>
        <w:t>Sin embargo, un referente más profundo sobre la conciencia de sí mismo puede entenderse con Platón (s.f.) pues en el diálogo del Sofista explica que el significado de la palabra “dianoia” es el diálogo del alma con ella misma, por tanto, la mente -nous- se particiona a sí misma, se objetiva para autoconocerse; por tanto, ese “dialogar consigo misma” es precisamente un equivalente a la conciencia.</w:t>
      </w:r>
    </w:p>
    <w:p w14:paraId="5EC41309" w14:textId="77777777" w:rsidR="0093626A" w:rsidRDefault="00000000" w:rsidP="005915A7">
      <w:pPr>
        <w:spacing w:line="360" w:lineRule="auto"/>
        <w:ind w:firstLine="708"/>
        <w:jc w:val="both"/>
        <w:rPr>
          <w:rFonts w:ascii="Arial" w:eastAsia="Calibri" w:hAnsi="Arial" w:cs="Arial"/>
          <w:sz w:val="24"/>
          <w:szCs w:val="24"/>
        </w:rPr>
      </w:pPr>
      <w:r>
        <w:rPr>
          <w:rFonts w:ascii="Arial" w:eastAsia="Calibri" w:hAnsi="Arial" w:cs="Arial"/>
          <w:sz w:val="24"/>
          <w:szCs w:val="24"/>
        </w:rPr>
        <w:t>La pregunta clave aquí es ¿puede un ente informático ser consciente de sí?</w:t>
      </w:r>
    </w:p>
    <w:p w14:paraId="231B2773" w14:textId="77777777" w:rsidR="0093626A" w:rsidRDefault="00000000" w:rsidP="005915A7">
      <w:pPr>
        <w:spacing w:line="360" w:lineRule="auto"/>
        <w:ind w:firstLine="708"/>
        <w:jc w:val="both"/>
        <w:rPr>
          <w:rFonts w:ascii="Arial" w:eastAsia="Calibri" w:hAnsi="Arial" w:cs="Arial"/>
          <w:b/>
          <w:bCs/>
          <w:sz w:val="24"/>
          <w:szCs w:val="24"/>
        </w:rPr>
      </w:pPr>
      <w:r>
        <w:rPr>
          <w:rFonts w:ascii="Arial" w:eastAsia="Calibri" w:hAnsi="Arial" w:cs="Arial"/>
          <w:sz w:val="24"/>
          <w:szCs w:val="24"/>
        </w:rPr>
        <w:t xml:space="preserve"> </w:t>
      </w:r>
      <w:r>
        <w:rPr>
          <w:rFonts w:ascii="Arial" w:eastAsia="Calibri" w:hAnsi="Arial" w:cs="Arial"/>
          <w:b/>
          <w:bCs/>
          <w:sz w:val="24"/>
          <w:szCs w:val="24"/>
        </w:rPr>
        <w:t>Argumentación Antropológica</w:t>
      </w:r>
    </w:p>
    <w:p w14:paraId="63C51ED2" w14:textId="77777777" w:rsidR="0093626A" w:rsidRDefault="00000000" w:rsidP="005915A7">
      <w:pPr>
        <w:spacing w:line="360" w:lineRule="auto"/>
        <w:ind w:firstLine="708"/>
        <w:jc w:val="both"/>
        <w:rPr>
          <w:rFonts w:ascii="Arial" w:eastAsia="Calibri" w:hAnsi="Arial" w:cs="Arial"/>
          <w:sz w:val="24"/>
          <w:szCs w:val="24"/>
        </w:rPr>
      </w:pPr>
      <w:r>
        <w:rPr>
          <w:rFonts w:ascii="Arial" w:eastAsia="Calibri" w:hAnsi="Arial" w:cs="Arial"/>
          <w:sz w:val="24"/>
          <w:szCs w:val="24"/>
        </w:rPr>
        <w:t xml:space="preserve">Prieto López (2017, p. 362) y Kramsky (1997, p. 221) coinciden en que en la conciencia convergen la inteligencia y la voluntad. Kramsky (1997, pp. 239-254) va más allá y clasifica los actos humanos de acuerdo con su naturaleza, operación y finalidad. Así, afirma que los actos humanos están clasificados en tres niveles: el orden de la intención, de los medios y de la realización; cada uno de estos niveles </w:t>
      </w:r>
      <w:r>
        <w:rPr>
          <w:rFonts w:ascii="Arial" w:eastAsia="Calibri" w:hAnsi="Arial" w:cs="Arial"/>
          <w:sz w:val="24"/>
          <w:szCs w:val="24"/>
        </w:rPr>
        <w:lastRenderedPageBreak/>
        <w:t>tiene un momento intelectual y otro volitivo, configurando así el comportamiento humano; para mayor claridad a continuación en la tabla 1 se ha esquematizado tal clasificación.</w:t>
      </w:r>
    </w:p>
    <w:tbl>
      <w:tblPr>
        <w:tblStyle w:val="Tablaconcuadrcula11"/>
        <w:tblpPr w:leftFromText="141" w:rightFromText="141" w:vertAnchor="page" w:horzAnchor="margin" w:tblpY="3541"/>
        <w:tblW w:w="9452" w:type="dxa"/>
        <w:tblLook w:val="04A0" w:firstRow="1" w:lastRow="0" w:firstColumn="1" w:lastColumn="0" w:noHBand="0" w:noVBand="1"/>
      </w:tblPr>
      <w:tblGrid>
        <w:gridCol w:w="4724"/>
        <w:gridCol w:w="4728"/>
      </w:tblGrid>
      <w:tr w:rsidR="0093626A" w14:paraId="523E623D" w14:textId="77777777">
        <w:trPr>
          <w:trHeight w:val="321"/>
        </w:trPr>
        <w:tc>
          <w:tcPr>
            <w:tcW w:w="9452" w:type="dxa"/>
            <w:gridSpan w:val="2"/>
            <w:shd w:val="clear" w:color="auto" w:fill="002060"/>
            <w:vAlign w:val="center"/>
          </w:tcPr>
          <w:p w14:paraId="1C3C5966" w14:textId="77777777" w:rsidR="0093626A" w:rsidRPr="00634580" w:rsidRDefault="00000000" w:rsidP="00634580">
            <w:pPr>
              <w:spacing w:after="0" w:line="360" w:lineRule="auto"/>
              <w:jc w:val="center"/>
              <w:rPr>
                <w:rFonts w:ascii="Arial" w:eastAsia="Calibri" w:hAnsi="Arial" w:cs="Arial"/>
                <w:color w:val="FFFFFF"/>
                <w:sz w:val="24"/>
                <w:szCs w:val="24"/>
              </w:rPr>
            </w:pPr>
            <w:r w:rsidRPr="00634580">
              <w:rPr>
                <w:rFonts w:ascii="Arial" w:eastAsia="Calibri" w:hAnsi="Arial" w:cs="Arial"/>
                <w:color w:val="FFFFFF"/>
                <w:sz w:val="24"/>
                <w:szCs w:val="24"/>
              </w:rPr>
              <w:t>Tabla 1. Pasos del Acto Humano</w:t>
            </w:r>
          </w:p>
        </w:tc>
      </w:tr>
      <w:tr w:rsidR="0093626A" w14:paraId="13A8F07A" w14:textId="77777777">
        <w:trPr>
          <w:trHeight w:val="331"/>
        </w:trPr>
        <w:tc>
          <w:tcPr>
            <w:tcW w:w="4724" w:type="dxa"/>
            <w:shd w:val="clear" w:color="auto" w:fill="7030A0"/>
            <w:vAlign w:val="center"/>
          </w:tcPr>
          <w:p w14:paraId="3E4BA33D" w14:textId="77777777" w:rsidR="0093626A" w:rsidRPr="00634580" w:rsidRDefault="00000000" w:rsidP="00634580">
            <w:pPr>
              <w:spacing w:after="0" w:line="360" w:lineRule="auto"/>
              <w:jc w:val="center"/>
              <w:rPr>
                <w:rFonts w:ascii="Arial" w:eastAsia="Calibri" w:hAnsi="Arial" w:cs="Arial"/>
                <w:color w:val="FFFFFF"/>
                <w:sz w:val="24"/>
                <w:szCs w:val="24"/>
              </w:rPr>
            </w:pPr>
            <w:r w:rsidRPr="00634580">
              <w:rPr>
                <w:rFonts w:ascii="Arial" w:eastAsia="Calibri" w:hAnsi="Arial" w:cs="Arial"/>
                <w:color w:val="FFFFFF"/>
                <w:sz w:val="24"/>
                <w:szCs w:val="24"/>
              </w:rPr>
              <w:t>Inteligencia</w:t>
            </w:r>
          </w:p>
        </w:tc>
        <w:tc>
          <w:tcPr>
            <w:tcW w:w="4728" w:type="dxa"/>
            <w:shd w:val="clear" w:color="auto" w:fill="7030A0"/>
            <w:vAlign w:val="center"/>
          </w:tcPr>
          <w:p w14:paraId="76C23645" w14:textId="77777777" w:rsidR="0093626A" w:rsidRPr="00634580" w:rsidRDefault="00000000" w:rsidP="00634580">
            <w:pPr>
              <w:spacing w:after="0" w:line="360" w:lineRule="auto"/>
              <w:jc w:val="center"/>
              <w:rPr>
                <w:rFonts w:ascii="Arial" w:eastAsia="Calibri" w:hAnsi="Arial" w:cs="Arial"/>
                <w:color w:val="FFFFFF"/>
                <w:sz w:val="24"/>
                <w:szCs w:val="24"/>
              </w:rPr>
            </w:pPr>
            <w:r w:rsidRPr="00634580">
              <w:rPr>
                <w:rFonts w:ascii="Arial" w:eastAsia="Calibri" w:hAnsi="Arial" w:cs="Arial"/>
                <w:color w:val="FFFFFF"/>
                <w:sz w:val="24"/>
                <w:szCs w:val="24"/>
              </w:rPr>
              <w:t>Voluntad</w:t>
            </w:r>
          </w:p>
        </w:tc>
      </w:tr>
      <w:tr w:rsidR="0093626A" w14:paraId="487477EB" w14:textId="77777777">
        <w:trPr>
          <w:trHeight w:val="321"/>
        </w:trPr>
        <w:tc>
          <w:tcPr>
            <w:tcW w:w="9452" w:type="dxa"/>
            <w:gridSpan w:val="2"/>
            <w:shd w:val="clear" w:color="auto" w:fill="002060"/>
            <w:vAlign w:val="center"/>
          </w:tcPr>
          <w:p w14:paraId="531E3217" w14:textId="77777777" w:rsidR="0093626A" w:rsidRPr="00634580" w:rsidRDefault="00000000" w:rsidP="00634580">
            <w:pPr>
              <w:spacing w:after="0" w:line="360" w:lineRule="auto"/>
              <w:jc w:val="center"/>
              <w:rPr>
                <w:rFonts w:ascii="Arial" w:eastAsia="Calibri" w:hAnsi="Arial" w:cs="Arial"/>
                <w:color w:val="FFFFFF"/>
                <w:sz w:val="24"/>
                <w:szCs w:val="24"/>
              </w:rPr>
            </w:pPr>
            <w:r w:rsidRPr="00634580">
              <w:rPr>
                <w:rFonts w:ascii="Arial" w:eastAsia="Calibri" w:hAnsi="Arial" w:cs="Arial"/>
                <w:color w:val="FFFFFF"/>
                <w:sz w:val="24"/>
                <w:szCs w:val="24"/>
              </w:rPr>
              <w:t>Orden de la Inteligencia</w:t>
            </w:r>
          </w:p>
        </w:tc>
      </w:tr>
      <w:tr w:rsidR="0093626A" w14:paraId="4BDBCF3D" w14:textId="77777777">
        <w:trPr>
          <w:trHeight w:val="331"/>
        </w:trPr>
        <w:tc>
          <w:tcPr>
            <w:tcW w:w="4724" w:type="dxa"/>
            <w:vAlign w:val="center"/>
          </w:tcPr>
          <w:p w14:paraId="37294ADD" w14:textId="77777777" w:rsidR="0093626A" w:rsidRPr="00634580" w:rsidRDefault="00000000" w:rsidP="00634580">
            <w:pPr>
              <w:spacing w:after="0" w:line="360" w:lineRule="auto"/>
              <w:jc w:val="both"/>
              <w:rPr>
                <w:rFonts w:ascii="Arial" w:eastAsia="Calibri" w:hAnsi="Arial" w:cs="Arial"/>
                <w:sz w:val="24"/>
                <w:szCs w:val="24"/>
              </w:rPr>
            </w:pPr>
            <w:r w:rsidRPr="00634580">
              <w:rPr>
                <w:rFonts w:ascii="Arial" w:eastAsia="Calibri" w:hAnsi="Arial" w:cs="Arial"/>
                <w:b/>
                <w:bCs/>
                <w:sz w:val="24"/>
                <w:szCs w:val="24"/>
              </w:rPr>
              <w:t>1.-Concepción:</w:t>
            </w:r>
            <w:r w:rsidRPr="00634580">
              <w:rPr>
                <w:rFonts w:ascii="Arial" w:eastAsia="Calibri" w:hAnsi="Arial" w:cs="Arial"/>
                <w:sz w:val="24"/>
                <w:szCs w:val="24"/>
              </w:rPr>
              <w:t xml:space="preserve"> es el acto primero de un acto humano porque es el conocimiento intelectual de un bien en modo general.</w:t>
            </w:r>
          </w:p>
        </w:tc>
        <w:tc>
          <w:tcPr>
            <w:tcW w:w="4728" w:type="dxa"/>
            <w:vAlign w:val="center"/>
          </w:tcPr>
          <w:p w14:paraId="4629C79E" w14:textId="77777777" w:rsidR="0093626A" w:rsidRPr="00634580" w:rsidRDefault="00000000" w:rsidP="00634580">
            <w:pPr>
              <w:spacing w:after="0" w:line="360" w:lineRule="auto"/>
              <w:jc w:val="both"/>
              <w:rPr>
                <w:rFonts w:ascii="Arial" w:eastAsia="Calibri" w:hAnsi="Arial" w:cs="Arial"/>
                <w:sz w:val="24"/>
                <w:szCs w:val="24"/>
              </w:rPr>
            </w:pPr>
            <w:r w:rsidRPr="00634580">
              <w:rPr>
                <w:rFonts w:ascii="Arial" w:eastAsia="Calibri" w:hAnsi="Arial" w:cs="Arial"/>
                <w:b/>
                <w:bCs/>
                <w:sz w:val="24"/>
                <w:szCs w:val="24"/>
              </w:rPr>
              <w:t>2.-Simple Volición:</w:t>
            </w:r>
            <w:r w:rsidRPr="00634580">
              <w:rPr>
                <w:rFonts w:ascii="Arial" w:eastAsia="Calibri" w:hAnsi="Arial" w:cs="Arial"/>
                <w:sz w:val="24"/>
                <w:szCs w:val="24"/>
              </w:rPr>
              <w:t xml:space="preserve"> responde a lo concebido complaciéndose con la idea de obtenerlo al desearlo irreflexivamente, es el acto primero de la voluntad. </w:t>
            </w:r>
          </w:p>
        </w:tc>
      </w:tr>
      <w:tr w:rsidR="0093626A" w14:paraId="2E1276AF" w14:textId="77777777">
        <w:trPr>
          <w:trHeight w:val="321"/>
        </w:trPr>
        <w:tc>
          <w:tcPr>
            <w:tcW w:w="4724" w:type="dxa"/>
            <w:vAlign w:val="center"/>
          </w:tcPr>
          <w:p w14:paraId="4AAA4501" w14:textId="77777777" w:rsidR="0093626A" w:rsidRPr="00634580" w:rsidRDefault="00000000" w:rsidP="00634580">
            <w:pPr>
              <w:spacing w:after="0" w:line="360" w:lineRule="auto"/>
              <w:jc w:val="both"/>
              <w:rPr>
                <w:rFonts w:ascii="Arial" w:eastAsia="Calibri" w:hAnsi="Arial" w:cs="Arial"/>
                <w:sz w:val="24"/>
                <w:szCs w:val="24"/>
              </w:rPr>
            </w:pPr>
            <w:r w:rsidRPr="00634580">
              <w:rPr>
                <w:rFonts w:ascii="Arial" w:eastAsia="Calibri" w:hAnsi="Arial" w:cs="Arial"/>
                <w:b/>
                <w:bCs/>
                <w:sz w:val="24"/>
                <w:szCs w:val="24"/>
              </w:rPr>
              <w:t>3.-Examen:</w:t>
            </w:r>
            <w:r w:rsidRPr="00634580">
              <w:rPr>
                <w:rFonts w:ascii="Arial" w:eastAsia="Calibri" w:hAnsi="Arial" w:cs="Arial"/>
                <w:sz w:val="24"/>
                <w:szCs w:val="24"/>
              </w:rPr>
              <w:t xml:space="preserve"> acción de indagar y definir si lo deseado es asequible y si es bueno en el aquí y ahora, de lo contrario, el proceso se interrumpe.</w:t>
            </w:r>
          </w:p>
        </w:tc>
        <w:tc>
          <w:tcPr>
            <w:tcW w:w="4728" w:type="dxa"/>
            <w:vAlign w:val="center"/>
          </w:tcPr>
          <w:p w14:paraId="01261C25" w14:textId="77777777" w:rsidR="0093626A" w:rsidRPr="00634580" w:rsidRDefault="00000000" w:rsidP="00634580">
            <w:pPr>
              <w:spacing w:after="0" w:line="360" w:lineRule="auto"/>
              <w:jc w:val="both"/>
              <w:rPr>
                <w:rFonts w:ascii="Arial" w:eastAsia="Calibri" w:hAnsi="Arial" w:cs="Arial"/>
                <w:sz w:val="24"/>
                <w:szCs w:val="24"/>
              </w:rPr>
            </w:pPr>
            <w:r w:rsidRPr="00634580">
              <w:rPr>
                <w:rFonts w:ascii="Arial" w:eastAsia="Calibri" w:hAnsi="Arial" w:cs="Arial"/>
                <w:b/>
                <w:bCs/>
                <w:sz w:val="24"/>
                <w:szCs w:val="24"/>
              </w:rPr>
              <w:t>4.-Intención:</w:t>
            </w:r>
            <w:r w:rsidRPr="00634580">
              <w:rPr>
                <w:rFonts w:ascii="Arial" w:eastAsia="Calibri" w:hAnsi="Arial" w:cs="Arial"/>
                <w:sz w:val="24"/>
                <w:szCs w:val="24"/>
              </w:rPr>
              <w:t xml:space="preserve"> es la acción de tender hacia lo concebido, hacia el fin. Si la intención está totalmente ordenada al examen entonces se habla de “buena intención.”</w:t>
            </w:r>
          </w:p>
        </w:tc>
      </w:tr>
      <w:tr w:rsidR="0093626A" w14:paraId="18BDFAB9" w14:textId="77777777">
        <w:trPr>
          <w:trHeight w:val="321"/>
        </w:trPr>
        <w:tc>
          <w:tcPr>
            <w:tcW w:w="9452" w:type="dxa"/>
            <w:gridSpan w:val="2"/>
            <w:shd w:val="clear" w:color="auto" w:fill="002060"/>
            <w:vAlign w:val="center"/>
          </w:tcPr>
          <w:p w14:paraId="155FD6BE" w14:textId="77777777" w:rsidR="0093626A" w:rsidRPr="00634580" w:rsidRDefault="00000000" w:rsidP="00634580">
            <w:pPr>
              <w:spacing w:after="0" w:line="360" w:lineRule="auto"/>
              <w:jc w:val="center"/>
              <w:rPr>
                <w:rFonts w:ascii="Arial" w:eastAsia="Calibri" w:hAnsi="Arial" w:cs="Arial"/>
                <w:color w:val="FFFFFF"/>
                <w:sz w:val="24"/>
                <w:szCs w:val="24"/>
              </w:rPr>
            </w:pPr>
            <w:r w:rsidRPr="00634580">
              <w:rPr>
                <w:rFonts w:ascii="Arial" w:eastAsia="Calibri" w:hAnsi="Arial" w:cs="Arial"/>
                <w:color w:val="FFFFFF"/>
                <w:sz w:val="24"/>
                <w:szCs w:val="24"/>
              </w:rPr>
              <w:t>Orden de los Medios</w:t>
            </w:r>
          </w:p>
        </w:tc>
      </w:tr>
      <w:tr w:rsidR="0093626A" w14:paraId="02A0A3F7" w14:textId="77777777">
        <w:trPr>
          <w:trHeight w:val="331"/>
        </w:trPr>
        <w:tc>
          <w:tcPr>
            <w:tcW w:w="4724" w:type="dxa"/>
            <w:vAlign w:val="center"/>
          </w:tcPr>
          <w:p w14:paraId="4B48562C" w14:textId="77777777" w:rsidR="0093626A" w:rsidRPr="00634580" w:rsidRDefault="00000000" w:rsidP="00634580">
            <w:pPr>
              <w:spacing w:after="0" w:line="360" w:lineRule="auto"/>
              <w:jc w:val="both"/>
              <w:rPr>
                <w:rFonts w:ascii="Arial" w:eastAsia="Calibri" w:hAnsi="Arial" w:cs="Arial"/>
                <w:sz w:val="24"/>
                <w:szCs w:val="24"/>
              </w:rPr>
            </w:pPr>
            <w:r w:rsidRPr="00634580">
              <w:rPr>
                <w:rFonts w:ascii="Arial" w:eastAsia="Calibri" w:hAnsi="Arial" w:cs="Arial"/>
                <w:b/>
                <w:bCs/>
                <w:sz w:val="24"/>
                <w:szCs w:val="24"/>
              </w:rPr>
              <w:t>5.-Búsqueda de Medios:</w:t>
            </w:r>
            <w:r w:rsidRPr="00634580">
              <w:rPr>
                <w:rFonts w:ascii="Arial" w:eastAsia="Calibri" w:hAnsi="Arial" w:cs="Arial"/>
                <w:sz w:val="24"/>
                <w:szCs w:val="24"/>
              </w:rPr>
              <w:t xml:space="preserve"> hace referencia a la forma de acceder al fin, de lograr obtener lo concebido. Responde al “cómo” obtener lo deseado.</w:t>
            </w:r>
          </w:p>
        </w:tc>
        <w:tc>
          <w:tcPr>
            <w:tcW w:w="4728" w:type="dxa"/>
            <w:vAlign w:val="center"/>
          </w:tcPr>
          <w:p w14:paraId="311EB8B4" w14:textId="77777777" w:rsidR="0093626A" w:rsidRPr="00634580" w:rsidRDefault="00000000" w:rsidP="00634580">
            <w:pPr>
              <w:spacing w:after="0" w:line="360" w:lineRule="auto"/>
              <w:jc w:val="both"/>
              <w:rPr>
                <w:rFonts w:ascii="Arial" w:eastAsia="Calibri" w:hAnsi="Arial" w:cs="Arial"/>
                <w:sz w:val="24"/>
                <w:szCs w:val="24"/>
              </w:rPr>
            </w:pPr>
            <w:r w:rsidRPr="00634580">
              <w:rPr>
                <w:rFonts w:ascii="Arial" w:eastAsia="Calibri" w:hAnsi="Arial" w:cs="Arial"/>
                <w:b/>
                <w:bCs/>
                <w:sz w:val="24"/>
                <w:szCs w:val="24"/>
              </w:rPr>
              <w:t>6.- Consentimiento:</w:t>
            </w:r>
            <w:r w:rsidRPr="00634580">
              <w:rPr>
                <w:rFonts w:ascii="Arial" w:eastAsia="Calibri" w:hAnsi="Arial" w:cs="Arial"/>
                <w:sz w:val="24"/>
                <w:szCs w:val="24"/>
              </w:rPr>
              <w:t xml:space="preserve"> es el acto en que la voluntad concuerda con el intelecto lo conveniente de los medios para lograr el fin concebido, lo deseado.</w:t>
            </w:r>
          </w:p>
        </w:tc>
      </w:tr>
      <w:tr w:rsidR="0093626A" w14:paraId="0ECD5F17" w14:textId="77777777">
        <w:trPr>
          <w:trHeight w:val="321"/>
        </w:trPr>
        <w:tc>
          <w:tcPr>
            <w:tcW w:w="4724" w:type="dxa"/>
            <w:vAlign w:val="center"/>
          </w:tcPr>
          <w:p w14:paraId="67BEF4A6" w14:textId="18206D97" w:rsidR="0093626A" w:rsidRPr="00634580" w:rsidRDefault="00000000" w:rsidP="00634580">
            <w:pPr>
              <w:spacing w:after="0" w:line="360" w:lineRule="auto"/>
              <w:jc w:val="both"/>
              <w:rPr>
                <w:rFonts w:ascii="Arial" w:eastAsia="Calibri" w:hAnsi="Arial" w:cs="Arial"/>
                <w:sz w:val="24"/>
                <w:szCs w:val="24"/>
              </w:rPr>
            </w:pPr>
            <w:r w:rsidRPr="00634580">
              <w:rPr>
                <w:rFonts w:ascii="Arial" w:eastAsia="Calibri" w:hAnsi="Arial" w:cs="Arial"/>
                <w:b/>
                <w:bCs/>
                <w:sz w:val="24"/>
                <w:szCs w:val="24"/>
              </w:rPr>
              <w:t>7.- Deliberación:</w:t>
            </w:r>
            <w:r w:rsidRPr="00634580">
              <w:rPr>
                <w:rFonts w:ascii="Arial" w:eastAsia="Calibri" w:hAnsi="Arial" w:cs="Arial"/>
                <w:sz w:val="24"/>
                <w:szCs w:val="24"/>
              </w:rPr>
              <w:t xml:space="preserve"> es una acción analítica que evalúa ya no </w:t>
            </w:r>
            <w:r w:rsidR="00456D5C" w:rsidRPr="00456D5C">
              <w:rPr>
                <w:rFonts w:ascii="Arial" w:eastAsia="Calibri" w:hAnsi="Arial" w:cs="Arial"/>
                <w:sz w:val="24"/>
                <w:szCs w:val="24"/>
              </w:rPr>
              <w:t>a</w:t>
            </w:r>
            <w:r w:rsidRPr="00634580">
              <w:rPr>
                <w:rFonts w:ascii="Arial" w:eastAsia="Calibri" w:hAnsi="Arial" w:cs="Arial"/>
                <w:sz w:val="24"/>
                <w:szCs w:val="24"/>
              </w:rPr>
              <w:t xml:space="preserve"> lo concebido, a lo deseado, al fin sino a los medios elegidos y su relación con la intención, no es un juicio universal sino particular y contingente a la situación.</w:t>
            </w:r>
          </w:p>
        </w:tc>
        <w:tc>
          <w:tcPr>
            <w:tcW w:w="4728" w:type="dxa"/>
            <w:vAlign w:val="center"/>
          </w:tcPr>
          <w:p w14:paraId="23BC6DCF" w14:textId="77777777" w:rsidR="0093626A" w:rsidRPr="00634580" w:rsidRDefault="00000000" w:rsidP="00634580">
            <w:pPr>
              <w:spacing w:after="0" w:line="360" w:lineRule="auto"/>
              <w:jc w:val="both"/>
              <w:rPr>
                <w:rFonts w:ascii="Arial" w:eastAsia="Calibri" w:hAnsi="Arial" w:cs="Arial"/>
                <w:sz w:val="24"/>
                <w:szCs w:val="24"/>
              </w:rPr>
            </w:pPr>
            <w:r w:rsidRPr="00634580">
              <w:rPr>
                <w:rFonts w:ascii="Arial" w:eastAsia="Calibri" w:hAnsi="Arial" w:cs="Arial"/>
                <w:b/>
                <w:bCs/>
                <w:sz w:val="24"/>
                <w:szCs w:val="24"/>
              </w:rPr>
              <w:t>8.- Elección:</w:t>
            </w:r>
            <w:r w:rsidRPr="00634580">
              <w:rPr>
                <w:rFonts w:ascii="Arial" w:eastAsia="Calibri" w:hAnsi="Arial" w:cs="Arial"/>
                <w:sz w:val="24"/>
                <w:szCs w:val="24"/>
              </w:rPr>
              <w:t xml:space="preserve"> es donde radica la libertad, el libre albedrío pues consiste en elegir libremente con base en una deliberación los medios para llegar a un fin.</w:t>
            </w:r>
          </w:p>
        </w:tc>
      </w:tr>
      <w:tr w:rsidR="0093626A" w14:paraId="76A57122" w14:textId="77777777">
        <w:trPr>
          <w:trHeight w:val="331"/>
        </w:trPr>
        <w:tc>
          <w:tcPr>
            <w:tcW w:w="9452" w:type="dxa"/>
            <w:gridSpan w:val="2"/>
            <w:shd w:val="clear" w:color="auto" w:fill="002060"/>
            <w:vAlign w:val="center"/>
          </w:tcPr>
          <w:p w14:paraId="77C5B45E" w14:textId="77777777" w:rsidR="0093626A" w:rsidRPr="00634580" w:rsidRDefault="00000000" w:rsidP="00634580">
            <w:pPr>
              <w:spacing w:after="0" w:line="360" w:lineRule="auto"/>
              <w:jc w:val="center"/>
              <w:rPr>
                <w:rFonts w:ascii="Arial" w:eastAsia="Calibri" w:hAnsi="Arial" w:cs="Arial"/>
                <w:color w:val="FFFFFF"/>
                <w:sz w:val="24"/>
                <w:szCs w:val="24"/>
              </w:rPr>
            </w:pPr>
            <w:r w:rsidRPr="00634580">
              <w:rPr>
                <w:rFonts w:ascii="Arial" w:eastAsia="Calibri" w:hAnsi="Arial" w:cs="Arial"/>
                <w:color w:val="FFFFFF"/>
                <w:sz w:val="24"/>
                <w:szCs w:val="24"/>
              </w:rPr>
              <w:t>Orden de la Realización</w:t>
            </w:r>
          </w:p>
        </w:tc>
      </w:tr>
      <w:tr w:rsidR="0093626A" w14:paraId="69854649" w14:textId="77777777">
        <w:trPr>
          <w:trHeight w:val="321"/>
        </w:trPr>
        <w:tc>
          <w:tcPr>
            <w:tcW w:w="4724" w:type="dxa"/>
            <w:vAlign w:val="center"/>
          </w:tcPr>
          <w:p w14:paraId="43F21046" w14:textId="77777777" w:rsidR="0093626A" w:rsidRPr="00634580" w:rsidRDefault="00000000" w:rsidP="00634580">
            <w:pPr>
              <w:spacing w:after="0" w:line="360" w:lineRule="auto"/>
              <w:jc w:val="both"/>
              <w:rPr>
                <w:rFonts w:ascii="Arial" w:eastAsia="Calibri" w:hAnsi="Arial" w:cs="Arial"/>
                <w:sz w:val="24"/>
                <w:szCs w:val="24"/>
              </w:rPr>
            </w:pPr>
            <w:r w:rsidRPr="00634580">
              <w:rPr>
                <w:rFonts w:ascii="Arial" w:eastAsia="Calibri" w:hAnsi="Arial" w:cs="Arial"/>
                <w:b/>
                <w:bCs/>
                <w:sz w:val="24"/>
                <w:szCs w:val="24"/>
              </w:rPr>
              <w:t>9.- Imperio:</w:t>
            </w:r>
            <w:r w:rsidRPr="00634580">
              <w:rPr>
                <w:rFonts w:ascii="Arial" w:eastAsia="Calibri" w:hAnsi="Arial" w:cs="Arial"/>
                <w:sz w:val="24"/>
                <w:szCs w:val="24"/>
              </w:rPr>
              <w:t xml:space="preserve"> consiste en dirigir los medios hacia el fin deseado, es decir, define con base en los medios elegidos cuál es la </w:t>
            </w:r>
            <w:r w:rsidRPr="00634580">
              <w:rPr>
                <w:rFonts w:ascii="Arial" w:eastAsia="Calibri" w:hAnsi="Arial" w:cs="Arial"/>
                <w:sz w:val="24"/>
                <w:szCs w:val="24"/>
              </w:rPr>
              <w:lastRenderedPageBreak/>
              <w:t>mejor ruta para lograr la concepción deseada.</w:t>
            </w:r>
          </w:p>
        </w:tc>
        <w:tc>
          <w:tcPr>
            <w:tcW w:w="4728" w:type="dxa"/>
            <w:vAlign w:val="center"/>
          </w:tcPr>
          <w:p w14:paraId="38672F10" w14:textId="77777777" w:rsidR="0093626A" w:rsidRPr="00634580" w:rsidRDefault="00000000" w:rsidP="00634580">
            <w:pPr>
              <w:spacing w:after="0" w:line="360" w:lineRule="auto"/>
              <w:jc w:val="both"/>
              <w:rPr>
                <w:rFonts w:ascii="Arial" w:eastAsia="Calibri" w:hAnsi="Arial" w:cs="Arial"/>
                <w:sz w:val="24"/>
                <w:szCs w:val="24"/>
              </w:rPr>
            </w:pPr>
            <w:r w:rsidRPr="00634580">
              <w:rPr>
                <w:rFonts w:ascii="Arial" w:eastAsia="Calibri" w:hAnsi="Arial" w:cs="Arial"/>
                <w:b/>
                <w:bCs/>
                <w:sz w:val="24"/>
                <w:szCs w:val="24"/>
              </w:rPr>
              <w:lastRenderedPageBreak/>
              <w:t>10.- Uso (activo):</w:t>
            </w:r>
            <w:r w:rsidRPr="00634580">
              <w:rPr>
                <w:rFonts w:ascii="Arial" w:eastAsia="Calibri" w:hAnsi="Arial" w:cs="Arial"/>
                <w:sz w:val="24"/>
                <w:szCs w:val="24"/>
              </w:rPr>
              <w:t xml:space="preserve"> consiste en “ejecutar” “llevar a la acción” la elección imperada </w:t>
            </w:r>
            <w:r w:rsidRPr="00634580">
              <w:rPr>
                <w:rFonts w:ascii="Arial" w:eastAsia="Calibri" w:hAnsi="Arial" w:cs="Arial"/>
                <w:sz w:val="24"/>
                <w:szCs w:val="24"/>
              </w:rPr>
              <w:lastRenderedPageBreak/>
              <w:t>con relación a conseguir el fin deseado, de lograr el fin propuesto.</w:t>
            </w:r>
          </w:p>
        </w:tc>
      </w:tr>
      <w:tr w:rsidR="0093626A" w14:paraId="61CF9F67" w14:textId="77777777">
        <w:trPr>
          <w:trHeight w:val="321"/>
        </w:trPr>
        <w:tc>
          <w:tcPr>
            <w:tcW w:w="4724" w:type="dxa"/>
            <w:vAlign w:val="center"/>
          </w:tcPr>
          <w:p w14:paraId="38E657AE" w14:textId="77777777" w:rsidR="0093626A" w:rsidRPr="00634580" w:rsidRDefault="00000000" w:rsidP="00634580">
            <w:pPr>
              <w:spacing w:after="0" w:line="360" w:lineRule="auto"/>
              <w:jc w:val="both"/>
              <w:rPr>
                <w:rFonts w:ascii="Arial" w:eastAsia="Calibri" w:hAnsi="Arial" w:cs="Arial"/>
                <w:sz w:val="24"/>
                <w:szCs w:val="24"/>
              </w:rPr>
            </w:pPr>
            <w:r w:rsidRPr="00634580">
              <w:rPr>
                <w:rFonts w:ascii="Arial" w:eastAsia="Calibri" w:hAnsi="Arial" w:cs="Arial"/>
                <w:b/>
                <w:bCs/>
                <w:sz w:val="24"/>
                <w:szCs w:val="24"/>
              </w:rPr>
              <w:lastRenderedPageBreak/>
              <w:t>11.- Uso (pasivo):</w:t>
            </w:r>
            <w:r w:rsidRPr="00634580">
              <w:rPr>
                <w:rFonts w:ascii="Arial" w:eastAsia="Calibri" w:hAnsi="Arial" w:cs="Arial"/>
                <w:sz w:val="24"/>
                <w:szCs w:val="24"/>
              </w:rPr>
              <w:t xml:space="preserve"> son las ejecuciones/acciones secundarias que siguen a la ejecución/acción principal. Por ejemplo, el hecho de saciar el hambre, la ejecución/acción principal es comer, pero todas las acciones que permitieron el acto de comer son el uso pasivo.</w:t>
            </w:r>
          </w:p>
        </w:tc>
        <w:tc>
          <w:tcPr>
            <w:tcW w:w="4728" w:type="dxa"/>
            <w:vAlign w:val="center"/>
          </w:tcPr>
          <w:p w14:paraId="77BE7D08" w14:textId="77777777" w:rsidR="0093626A" w:rsidRPr="00634580" w:rsidRDefault="00000000" w:rsidP="00634580">
            <w:pPr>
              <w:spacing w:after="0" w:line="360" w:lineRule="auto"/>
              <w:jc w:val="both"/>
              <w:rPr>
                <w:rFonts w:ascii="Arial" w:eastAsia="Calibri" w:hAnsi="Arial" w:cs="Arial"/>
                <w:sz w:val="24"/>
                <w:szCs w:val="24"/>
              </w:rPr>
            </w:pPr>
            <w:r w:rsidRPr="00634580">
              <w:rPr>
                <w:rFonts w:ascii="Arial" w:eastAsia="Calibri" w:hAnsi="Arial" w:cs="Arial"/>
                <w:b/>
                <w:bCs/>
                <w:sz w:val="24"/>
                <w:szCs w:val="24"/>
              </w:rPr>
              <w:t xml:space="preserve">12.- Fruición: </w:t>
            </w:r>
            <w:r w:rsidRPr="00634580">
              <w:rPr>
                <w:rFonts w:ascii="Arial" w:eastAsia="Calibri" w:hAnsi="Arial" w:cs="Arial"/>
                <w:sz w:val="24"/>
                <w:szCs w:val="24"/>
              </w:rPr>
              <w:t>consiste en disfrutar el resultado de la ejecución/acción realizada.</w:t>
            </w:r>
          </w:p>
        </w:tc>
      </w:tr>
      <w:tr w:rsidR="0093626A" w14:paraId="6117DDEB" w14:textId="77777777">
        <w:trPr>
          <w:trHeight w:val="321"/>
        </w:trPr>
        <w:tc>
          <w:tcPr>
            <w:tcW w:w="9452" w:type="dxa"/>
            <w:gridSpan w:val="2"/>
            <w:vAlign w:val="center"/>
          </w:tcPr>
          <w:p w14:paraId="75232A3A" w14:textId="69CE8DA0" w:rsidR="0093626A" w:rsidRPr="00634580" w:rsidRDefault="00000000" w:rsidP="00634580">
            <w:pPr>
              <w:spacing w:after="0" w:line="360" w:lineRule="auto"/>
              <w:rPr>
                <w:rFonts w:ascii="Arial" w:eastAsia="Calibri" w:hAnsi="Arial" w:cs="Arial"/>
                <w:sz w:val="24"/>
                <w:szCs w:val="24"/>
              </w:rPr>
            </w:pPr>
            <w:r w:rsidRPr="00634580">
              <w:rPr>
                <w:rFonts w:ascii="Arial" w:eastAsia="Calibri" w:hAnsi="Arial" w:cs="Arial"/>
                <w:sz w:val="20"/>
                <w:szCs w:val="20"/>
              </w:rPr>
              <w:t>Fuente: Elaboración propia.</w:t>
            </w:r>
          </w:p>
        </w:tc>
      </w:tr>
    </w:tbl>
    <w:p w14:paraId="6BA95B1B" w14:textId="77777777" w:rsidR="0093626A" w:rsidRDefault="0093626A" w:rsidP="005915A7">
      <w:pPr>
        <w:spacing w:line="360" w:lineRule="auto"/>
        <w:ind w:firstLine="708"/>
        <w:jc w:val="both"/>
        <w:rPr>
          <w:rFonts w:ascii="Arial" w:eastAsia="Calibri" w:hAnsi="Arial" w:cs="Arial"/>
          <w:sz w:val="24"/>
          <w:szCs w:val="24"/>
        </w:rPr>
      </w:pPr>
    </w:p>
    <w:p w14:paraId="5B1919BC" w14:textId="77777777" w:rsidR="0093626A" w:rsidRDefault="00000000" w:rsidP="005915A7">
      <w:pPr>
        <w:spacing w:line="360" w:lineRule="auto"/>
        <w:ind w:firstLine="708"/>
        <w:jc w:val="both"/>
        <w:rPr>
          <w:rFonts w:ascii="Arial" w:eastAsia="Calibri" w:hAnsi="Arial" w:cs="Arial"/>
          <w:sz w:val="24"/>
          <w:szCs w:val="24"/>
        </w:rPr>
      </w:pPr>
      <w:r>
        <w:rPr>
          <w:rFonts w:ascii="Arial" w:eastAsia="Calibri" w:hAnsi="Arial" w:cs="Arial"/>
          <w:sz w:val="24"/>
          <w:szCs w:val="24"/>
        </w:rPr>
        <w:t>La pregunta clave aquí es ¿tiene un ente informático voluntad?</w:t>
      </w:r>
    </w:p>
    <w:p w14:paraId="4911B0D4" w14:textId="77777777" w:rsidR="0093626A" w:rsidRDefault="00000000" w:rsidP="00634580">
      <w:pPr>
        <w:spacing w:line="360" w:lineRule="auto"/>
        <w:jc w:val="both"/>
        <w:rPr>
          <w:rFonts w:ascii="Arial" w:eastAsia="Calibri" w:hAnsi="Arial" w:cs="Arial"/>
          <w:b/>
          <w:bCs/>
          <w:sz w:val="24"/>
          <w:szCs w:val="24"/>
        </w:rPr>
      </w:pPr>
      <w:r>
        <w:rPr>
          <w:rFonts w:ascii="Arial" w:eastAsia="Calibri" w:hAnsi="Arial" w:cs="Arial"/>
          <w:b/>
          <w:bCs/>
          <w:sz w:val="24"/>
          <w:szCs w:val="24"/>
        </w:rPr>
        <w:t>Resultados y conclusiones</w:t>
      </w:r>
    </w:p>
    <w:p w14:paraId="46B99B25" w14:textId="77777777" w:rsidR="0093626A" w:rsidRPr="00634580" w:rsidRDefault="00000000" w:rsidP="00634580">
      <w:pPr>
        <w:spacing w:after="240" w:line="360" w:lineRule="auto"/>
        <w:jc w:val="both"/>
        <w:rPr>
          <w:rFonts w:ascii="Arial" w:eastAsia="Calibri" w:hAnsi="Arial" w:cs="Arial"/>
          <w:sz w:val="24"/>
          <w:szCs w:val="24"/>
        </w:rPr>
      </w:pPr>
      <w:r>
        <w:rPr>
          <w:rFonts w:ascii="Arial" w:eastAsia="Calibri" w:hAnsi="Arial" w:cs="Arial"/>
          <w:sz w:val="24"/>
          <w:szCs w:val="24"/>
          <w:shd w:val="clear" w:color="auto" w:fill="FFFFFF"/>
        </w:rPr>
        <w:t>¿Puede medirse una idea, o, el pensamiento? ¿dónde está el pensamiento? ¿cuándo comienza y termina una idea, o un pensamiento? La naturaleza del dato informático es binario, impulso eléctrico = sí, ausencia de impulso = no y se mide en bits y bytes, pero el hecho de que sea de naturaleza electromagnética significa que se encuentra en las dimensiones del dónde, el cuándo y que es cuantificable, categorías que no aplicación para el conocimiento intelectual humano, porque éste es de naturaleza abstracta; dado que la naturaleza del bit y el byte es material puede entonces decirse que los entes informáticos no cuenta con la capacidad de abstracción, es decir, no son inteligentes simplemente responden a impulsos eléctricos.</w:t>
      </w:r>
    </w:p>
    <w:p w14:paraId="5981A405" w14:textId="77777777" w:rsidR="0093626A" w:rsidRDefault="00000000" w:rsidP="005915A7">
      <w:pPr>
        <w:spacing w:line="360" w:lineRule="auto"/>
        <w:ind w:firstLine="708"/>
        <w:jc w:val="both"/>
        <w:rPr>
          <w:rFonts w:ascii="Arial" w:eastAsia="Calibri" w:hAnsi="Arial" w:cs="Arial"/>
          <w:sz w:val="24"/>
          <w:szCs w:val="24"/>
        </w:rPr>
      </w:pPr>
      <w:r>
        <w:rPr>
          <w:rFonts w:ascii="Arial" w:eastAsia="Calibri" w:hAnsi="Arial" w:cs="Arial"/>
          <w:sz w:val="24"/>
          <w:szCs w:val="24"/>
        </w:rPr>
        <w:t xml:space="preserve">¿Puede un ente informático interpretar? Dado que el ente informático no abstrae, y su operación es sólo una serie de “inputs” y “outputs” transitoria, un ente informático no interpreta sólo proyecta lo que está codificado binariamente, por lo tanto, los algoritmos de preferencia no son una interpretación del ente informático sino sólo una mecánica estadística, una especie de balanza que funciona con base en la demanda de contenido. Es decir, el ente informático no está interpretando la </w:t>
      </w:r>
      <w:r>
        <w:rPr>
          <w:rFonts w:ascii="Arial" w:eastAsia="Calibri" w:hAnsi="Arial" w:cs="Arial"/>
          <w:sz w:val="24"/>
          <w:szCs w:val="24"/>
        </w:rPr>
        <w:lastRenderedPageBreak/>
        <w:t>demanda de contenido, sino sólo está respondiendo a una recurrencia de impulsos eléctricos que proyecta en una pantalla.</w:t>
      </w:r>
    </w:p>
    <w:p w14:paraId="5D7E3BE4" w14:textId="77777777" w:rsidR="0093626A" w:rsidRDefault="00000000" w:rsidP="005915A7">
      <w:pPr>
        <w:spacing w:line="360" w:lineRule="auto"/>
        <w:ind w:firstLine="708"/>
        <w:jc w:val="both"/>
        <w:rPr>
          <w:rFonts w:ascii="Arial" w:eastAsia="Calibri" w:hAnsi="Arial" w:cs="Arial"/>
          <w:sz w:val="24"/>
          <w:szCs w:val="24"/>
        </w:rPr>
      </w:pPr>
      <w:r>
        <w:rPr>
          <w:rFonts w:ascii="Arial" w:eastAsia="Calibri" w:hAnsi="Arial" w:cs="Arial"/>
          <w:sz w:val="24"/>
          <w:szCs w:val="24"/>
        </w:rPr>
        <w:t>¿Puede un ente informático ser consciente de sí? No, porque no abstrae, no conceptualiza, no tiene inteligencia y por tanto no se “lee” a sí mismo, es decir, no reflexiona sobre su ser, sólo responde a una serie de impulsos eléctricos y al no tener capacidad de interpretación es imposible que se interprete a sí mismo como un “yo”. Finalmente, sin la consciencia de un “yo” no es posible una relación intelectual entre “sujeto-objeto,” el ente informático no sabe qué es, y por tanto no reflexiona sobre lo que sabe lo cual es una operación esencial para un ser inteligente.</w:t>
      </w:r>
    </w:p>
    <w:p w14:paraId="4ECC7F21" w14:textId="341C34C1" w:rsidR="0093626A" w:rsidRDefault="00000000" w:rsidP="005915A7">
      <w:pPr>
        <w:spacing w:line="360" w:lineRule="auto"/>
        <w:ind w:firstLine="708"/>
        <w:jc w:val="both"/>
        <w:rPr>
          <w:rFonts w:ascii="Arial" w:eastAsia="Calibri" w:hAnsi="Arial" w:cs="Arial"/>
          <w:sz w:val="24"/>
          <w:szCs w:val="24"/>
        </w:rPr>
      </w:pPr>
      <w:r>
        <w:rPr>
          <w:rFonts w:ascii="Arial" w:eastAsia="Calibri" w:hAnsi="Arial" w:cs="Arial"/>
          <w:sz w:val="24"/>
          <w:szCs w:val="24"/>
        </w:rPr>
        <w:t xml:space="preserve">¿Tiene un ente informático voluntad? No, porque al ser de naturaleza corporal (material), al carecer de inteligencia que abstraiga, de capacidad interpretativa y al no tener consciencia no concibe, no desea, no examina, no </w:t>
      </w:r>
      <w:r w:rsidR="00456D5C">
        <w:rPr>
          <w:rFonts w:ascii="Arial" w:eastAsia="Calibri" w:hAnsi="Arial" w:cs="Arial"/>
          <w:sz w:val="24"/>
          <w:szCs w:val="24"/>
        </w:rPr>
        <w:t>intencional</w:t>
      </w:r>
      <w:r>
        <w:rPr>
          <w:rFonts w:ascii="Arial" w:eastAsia="Calibri" w:hAnsi="Arial" w:cs="Arial"/>
          <w:sz w:val="24"/>
          <w:szCs w:val="24"/>
        </w:rPr>
        <w:t>, no busca medios, no consciente, no elige, no impera, no actúa, no disfruta, sólo proyecta lo que el conjunto de inputs y outputs que recibe. Al no tener una percepción del “yo,” al no tener conciencia del mundo ni consciencia de sí el, ente informático no tiene una razón de ser más que el uso que le dé el ser humano, no tiene una razón de ser “individual,” propia, autónoma, no tiene una percepción de destino y por ello carece de voluntad pues la voluntad es la que ayuda a lograr los fines propuestos por la conciencia, por los deseos a sí mismo, por las aspiraciones de un “yo.”</w:t>
      </w:r>
    </w:p>
    <w:p w14:paraId="16360502" w14:textId="39208CBB" w:rsidR="0093626A" w:rsidRDefault="00000000" w:rsidP="005915A7">
      <w:pPr>
        <w:spacing w:line="360" w:lineRule="auto"/>
        <w:ind w:firstLine="708"/>
        <w:jc w:val="both"/>
        <w:rPr>
          <w:rFonts w:ascii="Arial" w:eastAsia="Calibri" w:hAnsi="Arial" w:cs="Arial"/>
          <w:sz w:val="24"/>
          <w:szCs w:val="24"/>
        </w:rPr>
      </w:pPr>
      <w:r>
        <w:rPr>
          <w:rFonts w:ascii="Arial" w:eastAsia="Calibri" w:hAnsi="Arial" w:cs="Arial"/>
          <w:sz w:val="24"/>
          <w:szCs w:val="24"/>
        </w:rPr>
        <w:t xml:space="preserve">Para cerrar e ir respaldando lo anterior, Prieto López (2017, p. 360) afirma que los ordenadores no conocen nada, porque ignoran la referencia significativa, la semántica de los signos que emplean. El hombre, en cambio, conoce su sentido ulterior y más profundo: conoce el qué de las cosas, su naturaleza o esencia y conoce </w:t>
      </w:r>
      <w:r w:rsidR="00456D5C">
        <w:rPr>
          <w:rFonts w:ascii="Arial" w:eastAsia="Calibri" w:hAnsi="Arial" w:cs="Arial"/>
          <w:sz w:val="24"/>
          <w:szCs w:val="24"/>
        </w:rPr>
        <w:t>por qué</w:t>
      </w:r>
      <w:r>
        <w:rPr>
          <w:rFonts w:ascii="Arial" w:eastAsia="Calibri" w:hAnsi="Arial" w:cs="Arial"/>
          <w:sz w:val="24"/>
          <w:szCs w:val="24"/>
        </w:rPr>
        <w:t xml:space="preserve"> o su causa. Este nivel ulterior y más profundo de conocimiento es el propio de la inteligencia, que se encuentra colocada, por así decir, en un nivel de realidad diferente del simplemente empírico. Pues bien, los ordenadores emplean un lenguaje que carece de toda dimensión significativa. Se limitan a desarrollar las posibles combinaciones lógicas de acuerdo con la información que les ha sido </w:t>
      </w:r>
      <w:r>
        <w:rPr>
          <w:rFonts w:ascii="Arial" w:eastAsia="Calibri" w:hAnsi="Arial" w:cs="Arial"/>
          <w:sz w:val="24"/>
          <w:szCs w:val="24"/>
        </w:rPr>
        <w:lastRenderedPageBreak/>
        <w:t>previamente suministrada por la persona que los ha programado, con completa ignorancia de lo que significa.</w:t>
      </w:r>
    </w:p>
    <w:p w14:paraId="316AE669" w14:textId="77777777" w:rsidR="0093626A" w:rsidRDefault="00000000" w:rsidP="005915A7">
      <w:pPr>
        <w:spacing w:line="360" w:lineRule="auto"/>
        <w:ind w:firstLine="708"/>
        <w:jc w:val="both"/>
        <w:rPr>
          <w:rFonts w:ascii="Arial" w:eastAsia="Calibri" w:hAnsi="Arial" w:cs="Arial"/>
          <w:sz w:val="24"/>
          <w:szCs w:val="24"/>
        </w:rPr>
      </w:pPr>
      <w:r>
        <w:rPr>
          <w:rFonts w:ascii="Arial" w:eastAsia="Calibri" w:hAnsi="Arial" w:cs="Arial"/>
          <w:sz w:val="24"/>
          <w:szCs w:val="24"/>
        </w:rPr>
        <w:t>Con las respuestas anteriores se concluye entonces que la “inteligencia artificial” es imposible porque la concepción de una idea, la abstracción de un concepto, la operación de la consciencia y el deseo y direccionamiento del actuar humano se sostienen en su intelección.</w:t>
      </w:r>
    </w:p>
    <w:p w14:paraId="6D1604F6" w14:textId="77777777" w:rsidR="0093626A" w:rsidRDefault="00000000" w:rsidP="00634580">
      <w:pPr>
        <w:spacing w:line="360" w:lineRule="auto"/>
        <w:jc w:val="both"/>
        <w:rPr>
          <w:rFonts w:ascii="Arial" w:eastAsia="Calibri" w:hAnsi="Arial" w:cs="Arial"/>
          <w:b/>
          <w:bCs/>
          <w:sz w:val="24"/>
          <w:szCs w:val="24"/>
        </w:rPr>
      </w:pPr>
      <w:r>
        <w:rPr>
          <w:rFonts w:ascii="Arial" w:eastAsia="Calibri" w:hAnsi="Arial" w:cs="Arial"/>
          <w:b/>
          <w:bCs/>
          <w:sz w:val="24"/>
          <w:szCs w:val="24"/>
        </w:rPr>
        <w:t>Recomendaciones</w:t>
      </w:r>
    </w:p>
    <w:p w14:paraId="00C941C4" w14:textId="30C3B9C0" w:rsidR="0093626A" w:rsidRDefault="00000000" w:rsidP="00634580">
      <w:pPr>
        <w:spacing w:line="360" w:lineRule="auto"/>
        <w:jc w:val="both"/>
        <w:rPr>
          <w:rFonts w:ascii="Arial" w:eastAsia="Calibri" w:hAnsi="Arial" w:cs="Arial"/>
          <w:sz w:val="24"/>
          <w:szCs w:val="24"/>
        </w:rPr>
      </w:pPr>
      <w:r>
        <w:rPr>
          <w:rFonts w:ascii="Arial" w:eastAsia="Calibri" w:hAnsi="Arial" w:cs="Arial"/>
          <w:sz w:val="24"/>
          <w:szCs w:val="24"/>
        </w:rPr>
        <w:t>La llamada “inteligencia artificial” no es tal porque el pensamiento es producto de la inteligencia y el conocimiento intelectual es reconocido como tal por la conciencia y la consciencia de sí, ninguna de estas características es un constitutivo del ente informático y por tanto no constituye parte de su operatividad. Si el ser humano deja que la “llamada inteligencia” artificial a través de sus decisiones estadísticas puede incurrir en sesgos científicos o filosóficos que pueden ser contraproducentes porque el ente informático no delibera, no reflexiona sobre lo correcto o incorrecto de las decisiones. Es por tanto negligente asignar a una “inteligencia artificial” funciones directivas puesto que no tiene consciencia de lo que es la dirección, detrás de todo bigdata, de todo algoritmo debe esta un ser consciente de la naturaleza del conocimiento y consciente de sí que pueda hacer un manejo adecuado de datos, que les pueda dar una dirección conveniente a la naturaleza propia del ser humano.</w:t>
      </w:r>
    </w:p>
    <w:sdt>
      <w:sdtPr>
        <w:rPr>
          <w:rFonts w:ascii="Arial" w:eastAsia="Calibri" w:hAnsi="Arial" w:cs="Arial"/>
          <w:sz w:val="24"/>
          <w:szCs w:val="24"/>
          <w:lang w:val="es-ES"/>
        </w:rPr>
        <w:id w:val="-577747755"/>
      </w:sdtPr>
      <w:sdtContent>
        <w:p w14:paraId="67031B93" w14:textId="77777777" w:rsidR="0093626A" w:rsidRPr="00634580" w:rsidRDefault="00000000" w:rsidP="00634580">
          <w:pPr>
            <w:keepNext/>
            <w:keepLines/>
            <w:spacing w:before="240" w:after="0" w:line="360" w:lineRule="auto"/>
            <w:outlineLvl w:val="0"/>
            <w:rPr>
              <w:rFonts w:ascii="Arial" w:eastAsia="Times New Roman" w:hAnsi="Arial" w:cs="Arial"/>
              <w:b/>
              <w:bCs/>
              <w:kern w:val="0"/>
              <w:sz w:val="24"/>
              <w:szCs w:val="24"/>
              <w:lang w:eastAsia="es-MX"/>
              <w14:ligatures w14:val="none"/>
            </w:rPr>
          </w:pPr>
          <w:r w:rsidRPr="00634580">
            <w:rPr>
              <w:rFonts w:ascii="Arial" w:eastAsia="Times New Roman" w:hAnsi="Arial" w:cs="Arial"/>
              <w:b/>
              <w:bCs/>
              <w:kern w:val="0"/>
              <w:sz w:val="24"/>
              <w:szCs w:val="24"/>
              <w:lang w:val="es-ES" w:eastAsia="es-MX"/>
              <w14:ligatures w14:val="none"/>
            </w:rPr>
            <w:t>Referencias</w:t>
          </w:r>
        </w:p>
        <w:sdt>
          <w:sdtPr>
            <w:rPr>
              <w:rFonts w:ascii="Arial" w:eastAsia="Calibri" w:hAnsi="Arial" w:cs="Arial"/>
              <w:sz w:val="24"/>
              <w:szCs w:val="24"/>
            </w:rPr>
            <w:id w:val="111145805"/>
          </w:sdtPr>
          <w:sdtContent>
            <w:p w14:paraId="7AE7EE3F" w14:textId="5FB9D017" w:rsidR="0093626A" w:rsidRPr="00634580" w:rsidRDefault="00000000" w:rsidP="00634580">
              <w:pPr>
                <w:spacing w:line="360" w:lineRule="auto"/>
                <w:ind w:left="720" w:hanging="720"/>
                <w:rPr>
                  <w:rFonts w:ascii="Arial" w:eastAsia="Calibri" w:hAnsi="Arial" w:cs="Arial"/>
                  <w:kern w:val="0"/>
                  <w:sz w:val="24"/>
                  <w:szCs w:val="24"/>
                  <w:lang w:val="es-ES"/>
                  <w14:ligatures w14:val="none"/>
                </w:rPr>
              </w:pPr>
              <w:r w:rsidRPr="00634580">
                <w:rPr>
                  <w:rFonts w:ascii="Arial" w:eastAsia="Calibri" w:hAnsi="Arial" w:cs="Arial"/>
                  <w:sz w:val="24"/>
                  <w:szCs w:val="24"/>
                </w:rPr>
                <w:fldChar w:fldCharType="begin"/>
              </w:r>
              <w:r w:rsidRPr="00634580">
                <w:rPr>
                  <w:rFonts w:ascii="Arial" w:eastAsia="Calibri" w:hAnsi="Arial" w:cs="Arial"/>
                  <w:sz w:val="24"/>
                  <w:szCs w:val="24"/>
                </w:rPr>
                <w:instrText>BIBLIOGRAPHY</w:instrText>
              </w:r>
              <w:r w:rsidRPr="00634580">
                <w:rPr>
                  <w:rFonts w:ascii="Arial" w:eastAsia="Calibri" w:hAnsi="Arial" w:cs="Arial"/>
                  <w:sz w:val="24"/>
                  <w:szCs w:val="24"/>
                </w:rPr>
                <w:fldChar w:fldCharType="separate"/>
              </w:r>
              <w:r w:rsidRPr="00634580">
                <w:rPr>
                  <w:rFonts w:ascii="Arial" w:eastAsia="Calibri" w:hAnsi="Arial" w:cs="Arial"/>
                  <w:sz w:val="24"/>
                  <w:szCs w:val="24"/>
                  <w:lang w:val="es-ES"/>
                </w:rPr>
                <w:t xml:space="preserve">Abarca Fernández, R. (1991). </w:t>
              </w:r>
              <w:r w:rsidRPr="00634580">
                <w:rPr>
                  <w:rFonts w:ascii="Arial" w:eastAsia="Calibri" w:hAnsi="Arial" w:cs="Arial"/>
                  <w:i/>
                  <w:iCs/>
                  <w:sz w:val="24"/>
                  <w:szCs w:val="24"/>
                  <w:lang w:val="es-ES"/>
                </w:rPr>
                <w:t>El proceso del conocimiento: gnoseología o epistemología</w:t>
              </w:r>
              <w:r w:rsidRPr="00634580">
                <w:rPr>
                  <w:rFonts w:ascii="Arial" w:eastAsia="Calibri" w:hAnsi="Arial" w:cs="Arial"/>
                  <w:sz w:val="24"/>
                  <w:szCs w:val="24"/>
                  <w:lang w:val="es-ES"/>
                </w:rPr>
                <w:t>: El Alva.</w:t>
              </w:r>
            </w:p>
            <w:p w14:paraId="2EABD542" w14:textId="77777777" w:rsidR="0093626A" w:rsidRPr="00634580" w:rsidRDefault="00000000" w:rsidP="00634580">
              <w:pPr>
                <w:spacing w:line="360" w:lineRule="auto"/>
                <w:ind w:left="720" w:hanging="720"/>
                <w:rPr>
                  <w:rFonts w:ascii="Arial" w:eastAsia="Calibri" w:hAnsi="Arial" w:cs="Arial"/>
                  <w:sz w:val="24"/>
                  <w:szCs w:val="24"/>
                  <w:lang w:val="es-ES"/>
                </w:rPr>
              </w:pPr>
              <w:r w:rsidRPr="00634580">
                <w:rPr>
                  <w:rFonts w:ascii="Arial" w:eastAsia="Calibri" w:hAnsi="Arial" w:cs="Arial"/>
                  <w:sz w:val="24"/>
                  <w:szCs w:val="24"/>
                  <w:lang w:val="es-ES"/>
                </w:rPr>
                <w:t xml:space="preserve">Amengual, G. (2007). </w:t>
              </w:r>
              <w:r w:rsidRPr="00634580">
                <w:rPr>
                  <w:rFonts w:ascii="Arial" w:eastAsia="Calibri" w:hAnsi="Arial" w:cs="Arial"/>
                  <w:i/>
                  <w:iCs/>
                  <w:sz w:val="24"/>
                  <w:szCs w:val="24"/>
                  <w:lang w:val="es-ES"/>
                </w:rPr>
                <w:t>Antropología Filosófica</w:t>
              </w:r>
              <w:r w:rsidRPr="00634580">
                <w:rPr>
                  <w:rFonts w:ascii="Arial" w:eastAsia="Calibri" w:hAnsi="Arial" w:cs="Arial"/>
                  <w:sz w:val="24"/>
                  <w:szCs w:val="24"/>
                  <w:lang w:val="es-ES"/>
                </w:rPr>
                <w:t>: BAC.</w:t>
              </w:r>
            </w:p>
            <w:p w14:paraId="11210DE3" w14:textId="77777777" w:rsidR="0093626A" w:rsidRPr="00634580" w:rsidRDefault="00000000" w:rsidP="00634580">
              <w:pPr>
                <w:spacing w:line="360" w:lineRule="auto"/>
                <w:ind w:left="720" w:hanging="720"/>
                <w:rPr>
                  <w:rFonts w:ascii="Arial" w:eastAsia="Calibri" w:hAnsi="Arial" w:cs="Arial"/>
                  <w:sz w:val="24"/>
                  <w:szCs w:val="24"/>
                  <w:lang w:val="es-ES"/>
                </w:rPr>
              </w:pPr>
              <w:r w:rsidRPr="00634580">
                <w:rPr>
                  <w:rFonts w:ascii="Arial" w:eastAsia="Calibri" w:hAnsi="Arial" w:cs="Arial"/>
                  <w:sz w:val="24"/>
                  <w:szCs w:val="24"/>
                  <w:lang w:val="es-ES"/>
                </w:rPr>
                <w:t xml:space="preserve">Artigas, M., &amp; Sanguineti, J. (1993). </w:t>
              </w:r>
              <w:r w:rsidRPr="00634580">
                <w:rPr>
                  <w:rFonts w:ascii="Arial" w:eastAsia="Calibri" w:hAnsi="Arial" w:cs="Arial"/>
                  <w:i/>
                  <w:iCs/>
                  <w:sz w:val="24"/>
                  <w:szCs w:val="24"/>
                  <w:lang w:val="es-ES"/>
                </w:rPr>
                <w:t>Filosofía de la Naturaleza</w:t>
              </w:r>
              <w:r w:rsidRPr="00634580">
                <w:rPr>
                  <w:rFonts w:ascii="Arial" w:eastAsia="Calibri" w:hAnsi="Arial" w:cs="Arial"/>
                  <w:sz w:val="24"/>
                  <w:szCs w:val="24"/>
                  <w:lang w:val="es-ES"/>
                </w:rPr>
                <w:t>: EUNSA.</w:t>
              </w:r>
            </w:p>
            <w:p w14:paraId="3C1E66D3" w14:textId="77777777" w:rsidR="0093626A" w:rsidRPr="00634580" w:rsidRDefault="00000000" w:rsidP="00634580">
              <w:pPr>
                <w:spacing w:line="360" w:lineRule="auto"/>
                <w:ind w:left="720" w:hanging="720"/>
                <w:rPr>
                  <w:rFonts w:ascii="Arial" w:eastAsia="Calibri" w:hAnsi="Arial" w:cs="Arial"/>
                  <w:sz w:val="24"/>
                  <w:szCs w:val="24"/>
                  <w:lang w:val="es-ES"/>
                </w:rPr>
              </w:pPr>
              <w:r w:rsidRPr="00634580">
                <w:rPr>
                  <w:rFonts w:ascii="Arial" w:eastAsia="Calibri" w:hAnsi="Arial" w:cs="Arial"/>
                  <w:sz w:val="24"/>
                  <w:szCs w:val="24"/>
                  <w:lang w:val="es-ES"/>
                </w:rPr>
                <w:t xml:space="preserve">Benlloch Ibarra, E., &amp; Tejedor Campomanes, C. (2005). </w:t>
              </w:r>
              <w:r w:rsidRPr="00634580">
                <w:rPr>
                  <w:rFonts w:ascii="Arial" w:eastAsia="Calibri" w:hAnsi="Arial" w:cs="Arial"/>
                  <w:i/>
                  <w:iCs/>
                  <w:sz w:val="24"/>
                  <w:szCs w:val="24"/>
                  <w:lang w:val="es-ES"/>
                </w:rPr>
                <w:t xml:space="preserve">Apuntes de Lógica: </w:t>
              </w:r>
              <w:r w:rsidRPr="00634580">
                <w:rPr>
                  <w:rFonts w:ascii="Arial" w:eastAsia="Calibri" w:hAnsi="Arial" w:cs="Arial"/>
                  <w:sz w:val="24"/>
                  <w:szCs w:val="24"/>
                  <w:lang w:val="es-ES"/>
                </w:rPr>
                <w:t>Folia Universitaria.</w:t>
              </w:r>
            </w:p>
            <w:p w14:paraId="755B90AE" w14:textId="77777777" w:rsidR="0093626A" w:rsidRPr="00634580" w:rsidRDefault="00000000" w:rsidP="00634580">
              <w:pPr>
                <w:spacing w:line="360" w:lineRule="auto"/>
                <w:ind w:left="720" w:hanging="720"/>
                <w:rPr>
                  <w:rFonts w:ascii="Arial" w:eastAsia="Calibri" w:hAnsi="Arial" w:cs="Arial"/>
                  <w:sz w:val="24"/>
                  <w:szCs w:val="24"/>
                  <w:lang w:val="es-ES"/>
                </w:rPr>
              </w:pPr>
              <w:r w:rsidRPr="00634580">
                <w:rPr>
                  <w:rFonts w:ascii="Arial" w:eastAsia="Calibri" w:hAnsi="Arial" w:cs="Arial"/>
                  <w:sz w:val="24"/>
                  <w:szCs w:val="24"/>
                  <w:lang w:val="en-US"/>
                </w:rPr>
                <w:t xml:space="preserve">Burnet, J. (s.f.). </w:t>
              </w:r>
              <w:r w:rsidRPr="00634580">
                <w:rPr>
                  <w:rFonts w:ascii="Arial" w:eastAsia="Calibri" w:hAnsi="Arial" w:cs="Arial"/>
                  <w:i/>
                  <w:iCs/>
                  <w:sz w:val="24"/>
                  <w:szCs w:val="24"/>
                  <w:lang w:val="en-US"/>
                </w:rPr>
                <w:t>Greek and Roman Materials, Plato - Sophist.</w:t>
              </w:r>
              <w:r w:rsidRPr="00634580">
                <w:rPr>
                  <w:rFonts w:ascii="Arial" w:eastAsia="Calibri" w:hAnsi="Arial" w:cs="Arial"/>
                  <w:sz w:val="24"/>
                  <w:szCs w:val="24"/>
                  <w:lang w:val="en-US"/>
                </w:rPr>
                <w:t xml:space="preserve"> </w:t>
              </w:r>
              <w:r w:rsidRPr="00634580">
                <w:rPr>
                  <w:rFonts w:ascii="Arial" w:eastAsia="Calibri" w:hAnsi="Arial" w:cs="Arial"/>
                  <w:sz w:val="24"/>
                  <w:szCs w:val="24"/>
                  <w:lang w:val="es-ES"/>
                </w:rPr>
                <w:t xml:space="preserve">Recuperado el 29 de Diciembre de 2018, de Perseus Digital Library: </w:t>
              </w:r>
              <w:r w:rsidRPr="00634580">
                <w:rPr>
                  <w:rFonts w:ascii="Arial" w:eastAsia="Calibri" w:hAnsi="Arial" w:cs="Arial"/>
                  <w:sz w:val="24"/>
                  <w:szCs w:val="24"/>
                  <w:lang w:val="es-ES"/>
                </w:rPr>
                <w:lastRenderedPageBreak/>
                <w:t>http://www.perseus.tufts.edu/hopper/text?doc=Perseus%3Atext%3A1999.01.0171%3Atext%3DSoph.%3Asection%3D264a</w:t>
              </w:r>
            </w:p>
            <w:p w14:paraId="54CA4FDB" w14:textId="77777777" w:rsidR="0093626A" w:rsidRPr="00634580" w:rsidRDefault="00000000" w:rsidP="00634580">
              <w:pPr>
                <w:spacing w:line="360" w:lineRule="auto"/>
                <w:ind w:left="720" w:hanging="720"/>
                <w:rPr>
                  <w:rFonts w:ascii="Arial" w:eastAsia="Calibri" w:hAnsi="Arial" w:cs="Arial"/>
                  <w:sz w:val="24"/>
                  <w:szCs w:val="24"/>
                  <w:lang w:val="es-ES"/>
                </w:rPr>
              </w:pPr>
              <w:r w:rsidRPr="00634580">
                <w:rPr>
                  <w:rFonts w:ascii="Arial" w:eastAsia="Calibri" w:hAnsi="Arial" w:cs="Arial"/>
                  <w:sz w:val="24"/>
                  <w:szCs w:val="24"/>
                  <w:lang w:val="es-ES"/>
                </w:rPr>
                <w:t xml:space="preserve">Gainza, G. (1998). Semiótica y semántica: la comprensión del discurso. </w:t>
              </w:r>
              <w:r w:rsidRPr="00634580">
                <w:rPr>
                  <w:rFonts w:ascii="Arial" w:eastAsia="Calibri" w:hAnsi="Arial" w:cs="Arial"/>
                  <w:i/>
                  <w:iCs/>
                  <w:sz w:val="24"/>
                  <w:szCs w:val="24"/>
                  <w:lang w:val="es-ES"/>
                </w:rPr>
                <w:t>Reflexiones, 72</w:t>
              </w:r>
              <w:r w:rsidRPr="00634580">
                <w:rPr>
                  <w:rFonts w:ascii="Arial" w:eastAsia="Calibri" w:hAnsi="Arial" w:cs="Arial"/>
                  <w:sz w:val="24"/>
                  <w:szCs w:val="24"/>
                  <w:lang w:val="es-ES"/>
                </w:rPr>
                <w:t>(1), 3-14.</w:t>
              </w:r>
            </w:p>
            <w:p w14:paraId="70666D15" w14:textId="77777777" w:rsidR="0093626A" w:rsidRPr="00634580" w:rsidRDefault="00000000" w:rsidP="00634580">
              <w:pPr>
                <w:spacing w:line="360" w:lineRule="auto"/>
                <w:ind w:left="720" w:hanging="720"/>
                <w:rPr>
                  <w:rFonts w:ascii="Arial" w:eastAsia="Calibri" w:hAnsi="Arial" w:cs="Arial"/>
                  <w:sz w:val="24"/>
                  <w:szCs w:val="24"/>
                  <w:lang w:val="es-ES"/>
                </w:rPr>
              </w:pPr>
              <w:r w:rsidRPr="00634580">
                <w:rPr>
                  <w:rFonts w:ascii="Arial" w:eastAsia="Calibri" w:hAnsi="Arial" w:cs="Arial"/>
                  <w:sz w:val="24"/>
                  <w:szCs w:val="24"/>
                  <w:lang w:val="es-ES"/>
                </w:rPr>
                <w:t xml:space="preserve">García Cuadrado, J. (2005). </w:t>
              </w:r>
              <w:r w:rsidRPr="00634580">
                <w:rPr>
                  <w:rFonts w:ascii="Arial" w:eastAsia="Calibri" w:hAnsi="Arial" w:cs="Arial"/>
                  <w:i/>
                  <w:iCs/>
                  <w:sz w:val="24"/>
                  <w:szCs w:val="24"/>
                  <w:lang w:val="es-ES"/>
                </w:rPr>
                <w:t>Filosofía de la Naturaleza</w:t>
              </w:r>
              <w:r w:rsidRPr="00634580">
                <w:rPr>
                  <w:rFonts w:ascii="Arial" w:eastAsia="Calibri" w:hAnsi="Arial" w:cs="Arial"/>
                  <w:sz w:val="24"/>
                  <w:szCs w:val="24"/>
                  <w:lang w:val="es-ES"/>
                </w:rPr>
                <w:t>: EUNSA.</w:t>
              </w:r>
            </w:p>
            <w:p w14:paraId="2473A761" w14:textId="77777777" w:rsidR="0093626A" w:rsidRPr="00634580" w:rsidRDefault="00000000" w:rsidP="00634580">
              <w:pPr>
                <w:spacing w:line="360" w:lineRule="auto"/>
                <w:ind w:left="720" w:hanging="720"/>
                <w:rPr>
                  <w:rFonts w:ascii="Arial" w:eastAsia="Calibri" w:hAnsi="Arial" w:cs="Arial"/>
                  <w:sz w:val="24"/>
                  <w:szCs w:val="24"/>
                  <w:lang w:val="es-ES"/>
                </w:rPr>
              </w:pPr>
              <w:r w:rsidRPr="00634580">
                <w:rPr>
                  <w:rFonts w:ascii="Arial" w:eastAsia="Calibri" w:hAnsi="Arial" w:cs="Arial"/>
                  <w:sz w:val="24"/>
                  <w:szCs w:val="24"/>
                  <w:lang w:val="es-ES"/>
                </w:rPr>
                <w:t xml:space="preserve">Goutman Bender, A. (2003). Sema, semántica, semiótica, semiología, cultura. </w:t>
              </w:r>
              <w:r w:rsidRPr="00634580">
                <w:rPr>
                  <w:rFonts w:ascii="Arial" w:eastAsia="Calibri" w:hAnsi="Arial" w:cs="Arial"/>
                  <w:i/>
                  <w:iCs/>
                  <w:sz w:val="24"/>
                  <w:szCs w:val="24"/>
                  <w:lang w:val="es-ES"/>
                </w:rPr>
                <w:t>RMCS, XLVI</w:t>
              </w:r>
              <w:r w:rsidRPr="00634580">
                <w:rPr>
                  <w:rFonts w:ascii="Arial" w:eastAsia="Calibri" w:hAnsi="Arial" w:cs="Arial"/>
                  <w:sz w:val="24"/>
                  <w:szCs w:val="24"/>
                  <w:lang w:val="es-ES"/>
                </w:rPr>
                <w:t>(187), 35-47.</w:t>
              </w:r>
            </w:p>
            <w:p w14:paraId="03E90BAF" w14:textId="77777777" w:rsidR="0093626A" w:rsidRPr="00634580" w:rsidRDefault="00000000" w:rsidP="00634580">
              <w:pPr>
                <w:spacing w:line="360" w:lineRule="auto"/>
                <w:ind w:left="720" w:hanging="720"/>
                <w:rPr>
                  <w:rFonts w:ascii="Arial" w:eastAsia="Calibri" w:hAnsi="Arial" w:cs="Arial"/>
                  <w:sz w:val="24"/>
                  <w:szCs w:val="24"/>
                  <w:lang w:val="es-ES"/>
                </w:rPr>
              </w:pPr>
              <w:r w:rsidRPr="00634580">
                <w:rPr>
                  <w:rFonts w:ascii="Arial" w:eastAsia="Calibri" w:hAnsi="Arial" w:cs="Arial"/>
                  <w:sz w:val="24"/>
                  <w:szCs w:val="24"/>
                  <w:lang w:val="es-ES"/>
                </w:rPr>
                <w:t xml:space="preserve">Hüni, H. (2011). La conciencia es deseo (Hegel). </w:t>
              </w:r>
              <w:r w:rsidRPr="00634580">
                <w:rPr>
                  <w:rFonts w:ascii="Arial" w:eastAsia="Calibri" w:hAnsi="Arial" w:cs="Arial"/>
                  <w:i/>
                  <w:iCs/>
                  <w:sz w:val="24"/>
                  <w:szCs w:val="24"/>
                  <w:lang w:val="es-ES"/>
                </w:rPr>
                <w:t>Revista Praxis Filosófica</w:t>
              </w:r>
              <w:r w:rsidRPr="00634580">
                <w:rPr>
                  <w:rFonts w:ascii="Arial" w:eastAsia="Calibri" w:hAnsi="Arial" w:cs="Arial"/>
                  <w:sz w:val="24"/>
                  <w:szCs w:val="24"/>
                  <w:lang w:val="es-ES"/>
                </w:rPr>
                <w:t>, 87-95. Obtenido de Biblioteca Digital Univesida del Valle.</w:t>
              </w:r>
            </w:p>
            <w:p w14:paraId="1E71EB14" w14:textId="77777777" w:rsidR="0093626A" w:rsidRPr="00634580" w:rsidRDefault="00000000" w:rsidP="00634580">
              <w:pPr>
                <w:spacing w:line="360" w:lineRule="auto"/>
                <w:ind w:left="720" w:hanging="720"/>
                <w:rPr>
                  <w:rFonts w:ascii="Arial" w:eastAsia="Calibri" w:hAnsi="Arial" w:cs="Arial"/>
                  <w:sz w:val="24"/>
                  <w:szCs w:val="24"/>
                  <w:lang w:val="es-ES"/>
                </w:rPr>
              </w:pPr>
              <w:r w:rsidRPr="00634580">
                <w:rPr>
                  <w:rFonts w:ascii="Arial" w:eastAsia="Calibri" w:hAnsi="Arial" w:cs="Arial"/>
                  <w:sz w:val="24"/>
                  <w:szCs w:val="24"/>
                  <w:lang w:val="es-ES"/>
                </w:rPr>
                <w:t xml:space="preserve">Kramsky Steinpreis, C. (1997). </w:t>
              </w:r>
              <w:r w:rsidRPr="00634580">
                <w:rPr>
                  <w:rFonts w:ascii="Arial" w:eastAsia="Calibri" w:hAnsi="Arial" w:cs="Arial"/>
                  <w:i/>
                  <w:iCs/>
                  <w:sz w:val="24"/>
                  <w:szCs w:val="24"/>
                  <w:lang w:val="es-ES"/>
                </w:rPr>
                <w:t>Antropología Filosófica</w:t>
              </w:r>
              <w:r w:rsidRPr="00634580">
                <w:rPr>
                  <w:rFonts w:ascii="Arial" w:eastAsia="Calibri" w:hAnsi="Arial" w:cs="Arial"/>
                  <w:sz w:val="24"/>
                  <w:szCs w:val="24"/>
                  <w:lang w:val="es-ES"/>
                </w:rPr>
                <w:t>: CEIDSA.</w:t>
              </w:r>
            </w:p>
            <w:p w14:paraId="13542214" w14:textId="77777777" w:rsidR="0093626A" w:rsidRPr="00634580" w:rsidRDefault="00000000" w:rsidP="00634580">
              <w:pPr>
                <w:spacing w:line="360" w:lineRule="auto"/>
                <w:ind w:left="720" w:hanging="720"/>
                <w:rPr>
                  <w:rFonts w:ascii="Arial" w:eastAsia="Calibri" w:hAnsi="Arial" w:cs="Arial"/>
                  <w:sz w:val="24"/>
                  <w:szCs w:val="24"/>
                  <w:lang w:val="es-ES"/>
                </w:rPr>
              </w:pPr>
              <w:r w:rsidRPr="00634580">
                <w:rPr>
                  <w:rFonts w:ascii="Arial" w:eastAsia="Calibri" w:hAnsi="Arial" w:cs="Arial"/>
                  <w:sz w:val="24"/>
                  <w:szCs w:val="24"/>
                  <w:lang w:val="es-ES"/>
                </w:rPr>
                <w:t xml:space="preserve">Lázaro, J. M. (1997). </w:t>
              </w:r>
              <w:r w:rsidRPr="00634580">
                <w:rPr>
                  <w:rFonts w:ascii="Arial" w:eastAsia="Calibri" w:hAnsi="Arial" w:cs="Arial"/>
                  <w:i/>
                  <w:iCs/>
                  <w:sz w:val="24"/>
                  <w:szCs w:val="24"/>
                  <w:lang w:val="es-ES"/>
                </w:rPr>
                <w:t xml:space="preserve">El pensar lógico </w:t>
              </w:r>
              <w:r w:rsidRPr="00634580">
                <w:rPr>
                  <w:rFonts w:ascii="Arial" w:eastAsia="Calibri" w:hAnsi="Arial" w:cs="Arial"/>
                  <w:sz w:val="24"/>
                  <w:szCs w:val="24"/>
                  <w:lang w:val="es-ES"/>
                </w:rPr>
                <w:t>: Universidad de Puerto Rico.</w:t>
              </w:r>
            </w:p>
            <w:p w14:paraId="1DAC1B81" w14:textId="77777777" w:rsidR="0093626A" w:rsidRPr="00634580" w:rsidRDefault="00000000" w:rsidP="00634580">
              <w:pPr>
                <w:spacing w:line="360" w:lineRule="auto"/>
                <w:ind w:left="720" w:hanging="720"/>
                <w:rPr>
                  <w:rFonts w:ascii="Arial" w:eastAsia="Calibri" w:hAnsi="Arial" w:cs="Arial"/>
                  <w:sz w:val="24"/>
                  <w:szCs w:val="24"/>
                  <w:lang w:val="es-ES"/>
                </w:rPr>
              </w:pPr>
              <w:r w:rsidRPr="00634580">
                <w:rPr>
                  <w:rFonts w:ascii="Arial" w:eastAsia="Calibri" w:hAnsi="Arial" w:cs="Arial"/>
                  <w:sz w:val="24"/>
                  <w:szCs w:val="24"/>
                  <w:lang w:val="es-ES"/>
                </w:rPr>
                <w:t xml:space="preserve">Morris, C. (1971). </w:t>
              </w:r>
              <w:r w:rsidRPr="00634580">
                <w:rPr>
                  <w:rFonts w:ascii="Arial" w:eastAsia="Calibri" w:hAnsi="Arial" w:cs="Arial"/>
                  <w:i/>
                  <w:iCs/>
                  <w:sz w:val="24"/>
                  <w:szCs w:val="24"/>
                  <w:lang w:val="es-ES"/>
                </w:rPr>
                <w:t>Fundamentos de la teoría de los signos</w:t>
              </w:r>
              <w:r w:rsidRPr="00634580">
                <w:rPr>
                  <w:rFonts w:ascii="Arial" w:eastAsia="Calibri" w:hAnsi="Arial" w:cs="Arial"/>
                  <w:sz w:val="24"/>
                  <w:szCs w:val="24"/>
                  <w:lang w:val="es-ES"/>
                </w:rPr>
                <w:t>: Paidós.</w:t>
              </w:r>
            </w:p>
            <w:p w14:paraId="6EA7ED37" w14:textId="77777777" w:rsidR="0093626A" w:rsidRPr="00634580" w:rsidRDefault="00000000" w:rsidP="00634580">
              <w:pPr>
                <w:spacing w:line="360" w:lineRule="auto"/>
                <w:ind w:left="720" w:hanging="720"/>
                <w:rPr>
                  <w:rFonts w:ascii="Arial" w:eastAsia="Calibri" w:hAnsi="Arial" w:cs="Arial"/>
                  <w:sz w:val="24"/>
                  <w:szCs w:val="24"/>
                  <w:lang w:val="es-ES"/>
                </w:rPr>
              </w:pPr>
              <w:r w:rsidRPr="00634580">
                <w:rPr>
                  <w:rFonts w:ascii="Arial" w:eastAsia="Calibri" w:hAnsi="Arial" w:cs="Arial"/>
                  <w:sz w:val="24"/>
                  <w:szCs w:val="24"/>
                  <w:lang w:val="es-ES"/>
                </w:rPr>
                <w:t xml:space="preserve">Parret, H. (1990). De Baumgarten a Kant: sobre la belleza. </w:t>
              </w:r>
              <w:r w:rsidRPr="00634580">
                <w:rPr>
                  <w:rFonts w:ascii="Arial" w:eastAsia="Calibri" w:hAnsi="Arial" w:cs="Arial"/>
                  <w:i/>
                  <w:iCs/>
                  <w:sz w:val="24"/>
                  <w:szCs w:val="24"/>
                  <w:lang w:val="es-ES"/>
                </w:rPr>
                <w:t>Universidad de Lima</w:t>
              </w:r>
              <w:r w:rsidRPr="00634580">
                <w:rPr>
                  <w:rFonts w:ascii="Arial" w:eastAsia="Calibri" w:hAnsi="Arial" w:cs="Arial"/>
                  <w:sz w:val="24"/>
                  <w:szCs w:val="24"/>
                  <w:lang w:val="es-ES"/>
                </w:rPr>
                <w:t>, 209-224.</w:t>
              </w:r>
            </w:p>
            <w:p w14:paraId="3B445084" w14:textId="77777777" w:rsidR="0093626A" w:rsidRPr="00634580" w:rsidRDefault="00000000" w:rsidP="00634580">
              <w:pPr>
                <w:spacing w:line="360" w:lineRule="auto"/>
                <w:ind w:left="720" w:hanging="720"/>
                <w:rPr>
                  <w:rFonts w:ascii="Arial" w:eastAsia="Calibri" w:hAnsi="Arial" w:cs="Arial"/>
                  <w:sz w:val="24"/>
                  <w:szCs w:val="24"/>
                  <w:lang w:val="es-ES"/>
                </w:rPr>
              </w:pPr>
              <w:r w:rsidRPr="00634580">
                <w:rPr>
                  <w:rFonts w:ascii="Arial" w:eastAsia="Calibri" w:hAnsi="Arial" w:cs="Arial"/>
                  <w:sz w:val="24"/>
                  <w:szCs w:val="24"/>
                  <w:lang w:val="es-ES"/>
                </w:rPr>
                <w:t xml:space="preserve">Pérez Castro, D. (2010). La experiencia de la autoconciencia en Hegel. </w:t>
              </w:r>
              <w:r w:rsidRPr="00634580">
                <w:rPr>
                  <w:rFonts w:ascii="Arial" w:eastAsia="Calibri" w:hAnsi="Arial" w:cs="Arial"/>
                  <w:i/>
                  <w:iCs/>
                  <w:sz w:val="24"/>
                  <w:szCs w:val="24"/>
                  <w:lang w:val="es-ES"/>
                </w:rPr>
                <w:t>Contrastes: Revista Internacional de Filosofía</w:t>
              </w:r>
              <w:r w:rsidRPr="00634580">
                <w:rPr>
                  <w:rFonts w:ascii="Arial" w:eastAsia="Calibri" w:hAnsi="Arial" w:cs="Arial"/>
                  <w:sz w:val="24"/>
                  <w:szCs w:val="24"/>
                  <w:lang w:val="es-ES"/>
                </w:rPr>
                <w:t>, 319-325.</w:t>
              </w:r>
            </w:p>
            <w:p w14:paraId="46D1A368" w14:textId="77777777" w:rsidR="0093626A" w:rsidRPr="00634580" w:rsidRDefault="00000000" w:rsidP="00634580">
              <w:pPr>
                <w:spacing w:line="360" w:lineRule="auto"/>
                <w:ind w:left="720" w:hanging="720"/>
                <w:rPr>
                  <w:rFonts w:ascii="Arial" w:eastAsia="Calibri" w:hAnsi="Arial" w:cs="Arial"/>
                  <w:sz w:val="24"/>
                  <w:szCs w:val="24"/>
                  <w:lang w:val="es-ES"/>
                </w:rPr>
              </w:pPr>
              <w:r w:rsidRPr="00634580">
                <w:rPr>
                  <w:rFonts w:ascii="Arial" w:eastAsia="Calibri" w:hAnsi="Arial" w:cs="Arial"/>
                  <w:sz w:val="24"/>
                  <w:szCs w:val="24"/>
                  <w:lang w:val="es-ES"/>
                </w:rPr>
                <w:t xml:space="preserve">Torrez, S. A. (2016). </w:t>
              </w:r>
              <w:r w:rsidRPr="00634580">
                <w:rPr>
                  <w:rFonts w:ascii="Arial" w:eastAsia="Calibri" w:hAnsi="Arial" w:cs="Arial"/>
                  <w:i/>
                  <w:iCs/>
                  <w:sz w:val="24"/>
                  <w:szCs w:val="24"/>
                  <w:lang w:val="es-ES"/>
                </w:rPr>
                <w:t>El concepto de la intencionalidad en la fenomenología como psicología descriptiva</w:t>
              </w:r>
              <w:r w:rsidRPr="00634580">
                <w:rPr>
                  <w:rFonts w:ascii="Arial" w:eastAsia="Calibri" w:hAnsi="Arial" w:cs="Arial"/>
                  <w:sz w:val="24"/>
                  <w:szCs w:val="24"/>
                  <w:lang w:val="es-ES"/>
                </w:rPr>
                <w:t>: Teseopress.</w:t>
              </w:r>
            </w:p>
            <w:p w14:paraId="7376A33F" w14:textId="77777777" w:rsidR="0093626A" w:rsidRPr="00634580" w:rsidRDefault="00000000" w:rsidP="00634580">
              <w:pPr>
                <w:spacing w:line="360" w:lineRule="auto"/>
                <w:ind w:left="720" w:hanging="720"/>
                <w:rPr>
                  <w:rFonts w:ascii="Arial" w:eastAsia="Calibri" w:hAnsi="Arial" w:cs="Arial"/>
                  <w:sz w:val="24"/>
                  <w:szCs w:val="24"/>
                  <w:lang w:val="es-ES"/>
                </w:rPr>
              </w:pPr>
              <w:r w:rsidRPr="00634580">
                <w:rPr>
                  <w:rFonts w:ascii="Arial" w:eastAsia="Calibri" w:hAnsi="Arial" w:cs="Arial"/>
                  <w:sz w:val="24"/>
                  <w:szCs w:val="24"/>
                  <w:lang w:val="es-ES"/>
                </w:rPr>
                <w:t xml:space="preserve">Vélez Martínez, C. (s.f.). </w:t>
              </w:r>
              <w:r w:rsidRPr="00634580">
                <w:rPr>
                  <w:rFonts w:ascii="Arial" w:eastAsia="Calibri" w:hAnsi="Arial" w:cs="Arial"/>
                  <w:i/>
                  <w:iCs/>
                  <w:sz w:val="24"/>
                  <w:szCs w:val="24"/>
                  <w:lang w:val="es-ES"/>
                </w:rPr>
                <w:t>De bits y de Bytes</w:t>
              </w:r>
              <w:r w:rsidRPr="00634580">
                <w:rPr>
                  <w:rFonts w:ascii="Arial" w:eastAsia="Calibri" w:hAnsi="Arial" w:cs="Arial"/>
                  <w:sz w:val="24"/>
                  <w:szCs w:val="24"/>
                  <w:lang w:val="es-ES"/>
                </w:rPr>
                <w:t>. Obtenido de Instituto de Ingeniería UNAM: https://www.iingen.unam.mx/es-mx/AlmacenDigital/CapsulasTI/Paginas/debitsydebytes.aspx</w:t>
              </w:r>
            </w:p>
            <w:p w14:paraId="29619941" w14:textId="77777777" w:rsidR="0093626A" w:rsidRPr="00634580" w:rsidRDefault="00000000" w:rsidP="00634580">
              <w:pPr>
                <w:spacing w:line="360" w:lineRule="auto"/>
                <w:ind w:left="720" w:hanging="720"/>
                <w:rPr>
                  <w:rFonts w:ascii="Arial" w:eastAsia="Calibri" w:hAnsi="Arial" w:cs="Arial"/>
                  <w:sz w:val="24"/>
                  <w:szCs w:val="24"/>
                  <w:lang w:val="es-ES"/>
                </w:rPr>
              </w:pPr>
              <w:r w:rsidRPr="00634580">
                <w:rPr>
                  <w:rFonts w:ascii="Arial" w:eastAsia="Calibri" w:hAnsi="Arial" w:cs="Arial"/>
                  <w:sz w:val="24"/>
                  <w:szCs w:val="24"/>
                  <w:lang w:val="es-ES"/>
                </w:rPr>
                <w:t xml:space="preserve">Versace, S. (2016). </w:t>
              </w:r>
              <w:r w:rsidRPr="00634580">
                <w:rPr>
                  <w:rFonts w:ascii="Arial" w:eastAsia="Calibri" w:hAnsi="Arial" w:cs="Arial"/>
                  <w:i/>
                  <w:iCs/>
                  <w:sz w:val="24"/>
                  <w:szCs w:val="24"/>
                  <w:lang w:val="es-ES"/>
                </w:rPr>
                <w:t>Chomsky. Lenguaje, conocimiento y libertad</w:t>
              </w:r>
              <w:r w:rsidRPr="00634580">
                <w:rPr>
                  <w:rFonts w:ascii="Arial" w:eastAsia="Calibri" w:hAnsi="Arial" w:cs="Arial"/>
                  <w:sz w:val="24"/>
                  <w:szCs w:val="24"/>
                  <w:lang w:val="es-ES"/>
                </w:rPr>
                <w:t>: El Mundo.</w:t>
              </w:r>
            </w:p>
            <w:p w14:paraId="204125B6" w14:textId="77777777" w:rsidR="0093626A" w:rsidRPr="00634580" w:rsidRDefault="00000000" w:rsidP="00634580">
              <w:pPr>
                <w:spacing w:line="360" w:lineRule="auto"/>
                <w:ind w:left="720" w:hanging="720"/>
                <w:rPr>
                  <w:rFonts w:ascii="Arial" w:eastAsia="Calibri" w:hAnsi="Arial" w:cs="Arial"/>
                  <w:sz w:val="24"/>
                  <w:szCs w:val="24"/>
                </w:rPr>
              </w:pPr>
              <w:r w:rsidRPr="00634580">
                <w:rPr>
                  <w:rFonts w:ascii="Arial" w:eastAsia="Calibri" w:hAnsi="Arial" w:cs="Arial"/>
                  <w:b/>
                  <w:bCs/>
                  <w:sz w:val="24"/>
                  <w:szCs w:val="24"/>
                </w:rPr>
                <w:fldChar w:fldCharType="end"/>
              </w:r>
            </w:p>
          </w:sdtContent>
        </w:sdt>
      </w:sdtContent>
    </w:sdt>
    <w:p w14:paraId="7E507B73" w14:textId="77777777" w:rsidR="0093626A" w:rsidRDefault="0093626A" w:rsidP="005915A7">
      <w:pPr>
        <w:spacing w:after="0" w:line="360" w:lineRule="auto"/>
        <w:jc w:val="center"/>
        <w:rPr>
          <w:rFonts w:ascii="Arial" w:eastAsia="Calibri" w:hAnsi="Arial" w:cs="Arial"/>
          <w:sz w:val="24"/>
          <w:szCs w:val="24"/>
        </w:rPr>
      </w:pPr>
    </w:p>
    <w:p w14:paraId="709CDDCA" w14:textId="77777777" w:rsidR="0093626A" w:rsidRDefault="0093626A" w:rsidP="005915A7">
      <w:pPr>
        <w:spacing w:after="0" w:line="360" w:lineRule="auto"/>
        <w:jc w:val="center"/>
        <w:rPr>
          <w:rFonts w:ascii="Arial" w:eastAsia="Calibri" w:hAnsi="Arial" w:cs="Arial"/>
          <w:sz w:val="24"/>
          <w:szCs w:val="24"/>
        </w:rPr>
      </w:pPr>
    </w:p>
    <w:p w14:paraId="4CF587B1" w14:textId="77777777" w:rsidR="0093626A" w:rsidRDefault="0093626A" w:rsidP="005915A7">
      <w:pPr>
        <w:spacing w:after="0" w:line="360" w:lineRule="auto"/>
        <w:jc w:val="center"/>
        <w:rPr>
          <w:rFonts w:ascii="Arial" w:eastAsia="Calibri" w:hAnsi="Arial" w:cs="Arial"/>
          <w:sz w:val="24"/>
          <w:szCs w:val="24"/>
        </w:rPr>
      </w:pPr>
    </w:p>
    <w:bookmarkStart w:id="12" w:name="_Hlk219800746"/>
    <w:p w14:paraId="39553614" w14:textId="77777777" w:rsidR="0093626A" w:rsidRDefault="00000000" w:rsidP="005915A7">
      <w:pPr>
        <w:spacing w:after="0" w:line="360" w:lineRule="auto"/>
        <w:jc w:val="center"/>
        <w:rPr>
          <w:rFonts w:ascii="Arial" w:hAnsi="Arial" w:cs="Arial"/>
          <w:b/>
          <w:bCs/>
          <w:sz w:val="24"/>
          <w:szCs w:val="24"/>
        </w:rPr>
      </w:pPr>
      <w:sdt>
        <w:sdtPr>
          <w:rPr>
            <w:rFonts w:ascii="Arial" w:hAnsi="Arial" w:cs="Arial"/>
            <w:b/>
            <w:bCs/>
            <w:sz w:val="24"/>
            <w:szCs w:val="24"/>
          </w:rPr>
          <w:id w:val="-1139566692"/>
        </w:sdtPr>
        <w:sdtContent>
          <w:r>
            <w:rPr>
              <w:rFonts w:ascii="Arial" w:hAnsi="Arial" w:cs="Arial"/>
              <w:b/>
              <w:bCs/>
              <w:sz w:val="24"/>
              <w:szCs w:val="24"/>
            </w:rPr>
            <w:t>Redes transnacionales de investigación colaborativa en el campo de la Salud Global: realidades, desafíos y perspectivas</w:t>
          </w:r>
        </w:sdtContent>
      </w:sdt>
    </w:p>
    <w:bookmarkEnd w:id="12"/>
    <w:p w14:paraId="1508826D" w14:textId="77777777" w:rsidR="0093626A" w:rsidRDefault="0093626A" w:rsidP="005915A7">
      <w:pPr>
        <w:spacing w:after="0" w:line="360" w:lineRule="auto"/>
        <w:jc w:val="center"/>
        <w:rPr>
          <w:rFonts w:ascii="Arial" w:hAnsi="Arial" w:cs="Arial"/>
          <w:b/>
          <w:bCs/>
          <w:sz w:val="24"/>
          <w:szCs w:val="24"/>
        </w:rPr>
      </w:pPr>
    </w:p>
    <w:p w14:paraId="02803BF6" w14:textId="77777777" w:rsidR="0093626A" w:rsidRPr="00634580" w:rsidRDefault="00000000" w:rsidP="005915A7">
      <w:pPr>
        <w:spacing w:after="0" w:line="360" w:lineRule="auto"/>
        <w:jc w:val="center"/>
        <w:rPr>
          <w:rFonts w:ascii="Arial" w:hAnsi="Arial" w:cs="Arial"/>
          <w:b/>
          <w:bCs/>
          <w:sz w:val="24"/>
          <w:szCs w:val="24"/>
          <w:lang w:val="en-US"/>
        </w:rPr>
      </w:pPr>
      <w:r w:rsidRPr="00634580">
        <w:rPr>
          <w:rFonts w:ascii="Arial" w:hAnsi="Arial"/>
          <w:b/>
          <w:bCs/>
          <w:sz w:val="24"/>
          <w:szCs w:val="24"/>
          <w:lang w:val="en-US"/>
        </w:rPr>
        <w:t>Transnational collaborative research networks in the field of Global Health: realities, challenges and perspectives</w:t>
      </w:r>
    </w:p>
    <w:p w14:paraId="0C88EDDD" w14:textId="77777777" w:rsidR="0093626A" w:rsidRPr="00634580" w:rsidRDefault="0093626A" w:rsidP="00634580">
      <w:pPr>
        <w:spacing w:after="0" w:line="360" w:lineRule="auto"/>
        <w:jc w:val="center"/>
        <w:rPr>
          <w:rFonts w:ascii="Arial" w:hAnsi="Arial" w:cs="Arial"/>
          <w:b/>
          <w:bCs/>
          <w:sz w:val="24"/>
          <w:szCs w:val="24"/>
          <w:lang w:val="en-US"/>
        </w:rPr>
      </w:pPr>
    </w:p>
    <w:p w14:paraId="7C19F22E" w14:textId="77777777" w:rsidR="0093626A" w:rsidRPr="00634580" w:rsidRDefault="00000000" w:rsidP="00634580">
      <w:pPr>
        <w:spacing w:after="0" w:line="360" w:lineRule="auto"/>
        <w:jc w:val="center"/>
        <w:rPr>
          <w:rFonts w:ascii="Arial" w:hAnsi="Arial" w:cs="Arial"/>
          <w:i/>
          <w:iCs/>
          <w:sz w:val="24"/>
          <w:szCs w:val="24"/>
        </w:rPr>
      </w:pPr>
      <w:bookmarkStart w:id="13" w:name="_Hlk219800766"/>
      <w:r w:rsidRPr="00634580">
        <w:rPr>
          <w:rFonts w:ascii="Arial" w:hAnsi="Arial" w:cs="Arial"/>
          <w:i/>
          <w:iCs/>
          <w:sz w:val="24"/>
          <w:szCs w:val="24"/>
        </w:rPr>
        <w:t>José Carlos Suarez-Herrera</w:t>
      </w:r>
      <w:bookmarkEnd w:id="13"/>
      <w:r w:rsidRPr="00634580">
        <w:rPr>
          <w:rFonts w:ascii="Arial" w:hAnsi="Arial" w:cs="Arial"/>
          <w:i/>
          <w:iCs/>
          <w:sz w:val="24"/>
          <w:szCs w:val="24"/>
        </w:rPr>
        <w:t>, PhD.</w:t>
      </w:r>
    </w:p>
    <w:p w14:paraId="0A6CB6B5" w14:textId="77777777" w:rsidR="0093626A" w:rsidRPr="00634580" w:rsidRDefault="00000000" w:rsidP="00634580">
      <w:pPr>
        <w:spacing w:after="0" w:line="360" w:lineRule="auto"/>
        <w:jc w:val="center"/>
        <w:rPr>
          <w:rFonts w:ascii="Arial" w:hAnsi="Arial" w:cs="Arial"/>
          <w:i/>
          <w:iCs/>
          <w:sz w:val="24"/>
          <w:szCs w:val="24"/>
        </w:rPr>
      </w:pPr>
      <w:r w:rsidRPr="00634580">
        <w:rPr>
          <w:rFonts w:ascii="Arial" w:hAnsi="Arial" w:cs="Arial"/>
          <w:i/>
          <w:iCs/>
          <w:sz w:val="24"/>
          <w:szCs w:val="24"/>
        </w:rPr>
        <w:t>Instituto Universitario de Investigaciones Biomédicas y Sanitarias (iUIBS)</w:t>
      </w:r>
    </w:p>
    <w:p w14:paraId="07A9E698" w14:textId="77777777" w:rsidR="0093626A" w:rsidRPr="00634580" w:rsidRDefault="00000000" w:rsidP="00634580">
      <w:pPr>
        <w:spacing w:after="0" w:line="360" w:lineRule="auto"/>
        <w:jc w:val="center"/>
        <w:rPr>
          <w:rFonts w:ascii="Arial" w:hAnsi="Arial" w:cs="Arial"/>
          <w:i/>
          <w:iCs/>
          <w:sz w:val="24"/>
          <w:szCs w:val="24"/>
        </w:rPr>
      </w:pPr>
      <w:r w:rsidRPr="00634580">
        <w:rPr>
          <w:rFonts w:ascii="Arial" w:hAnsi="Arial" w:cs="Arial"/>
          <w:i/>
          <w:iCs/>
          <w:sz w:val="24"/>
          <w:szCs w:val="24"/>
        </w:rPr>
        <w:t>ULPGC (Universidad de Las Palmas de Gran Canaria, España)</w:t>
      </w:r>
    </w:p>
    <w:p w14:paraId="1C000879" w14:textId="77777777" w:rsidR="0093626A" w:rsidRDefault="0093626A" w:rsidP="005915A7">
      <w:pPr>
        <w:spacing w:after="0" w:line="360" w:lineRule="auto"/>
        <w:jc w:val="both"/>
        <w:rPr>
          <w:rFonts w:ascii="Arial" w:hAnsi="Arial" w:cs="Arial"/>
          <w:sz w:val="24"/>
          <w:szCs w:val="24"/>
        </w:rPr>
      </w:pPr>
    </w:p>
    <w:p w14:paraId="4851C6B9" w14:textId="77777777" w:rsidR="0093626A" w:rsidRPr="00634580" w:rsidRDefault="00000000" w:rsidP="005915A7">
      <w:pPr>
        <w:pStyle w:val="Ttulo1"/>
        <w:spacing w:before="120" w:after="120" w:line="360" w:lineRule="auto"/>
        <w:jc w:val="both"/>
        <w:rPr>
          <w:rFonts w:ascii="Arial" w:hAnsi="Arial" w:cs="Arial"/>
          <w:b/>
          <w:bCs/>
          <w:color w:val="auto"/>
          <w:sz w:val="24"/>
          <w:szCs w:val="24"/>
        </w:rPr>
      </w:pPr>
      <w:r w:rsidRPr="00634580">
        <w:rPr>
          <w:rFonts w:ascii="Arial" w:hAnsi="Arial" w:cs="Arial"/>
          <w:b/>
          <w:bCs/>
          <w:color w:val="auto"/>
          <w:sz w:val="24"/>
          <w:szCs w:val="24"/>
        </w:rPr>
        <w:t>Introducción</w:t>
      </w:r>
    </w:p>
    <w:p w14:paraId="04418CF7" w14:textId="77777777" w:rsidR="0093626A" w:rsidRDefault="00000000" w:rsidP="005915A7">
      <w:pPr>
        <w:spacing w:after="0" w:line="360" w:lineRule="auto"/>
        <w:jc w:val="both"/>
        <w:rPr>
          <w:rFonts w:ascii="Arial" w:hAnsi="Arial" w:cs="Arial"/>
          <w:sz w:val="24"/>
          <w:szCs w:val="24"/>
        </w:rPr>
      </w:pPr>
      <w:r>
        <w:rPr>
          <w:rFonts w:ascii="Arial" w:hAnsi="Arial" w:cs="Arial"/>
          <w:sz w:val="24"/>
          <w:szCs w:val="24"/>
        </w:rPr>
        <w:t xml:space="preserve">Desde hace algunas décadas, nos encontramos en un período de cambios significativos en el panorama internacional que no resulta ajeno al discurso y a la práctica de la investigación en Salud Global </w:t>
      </w:r>
      <w:r>
        <w:rPr>
          <w:rFonts w:ascii="Arial" w:hAnsi="Arial" w:cs="Arial"/>
          <w:color w:val="2F5496" w:themeColor="accent1" w:themeShade="BF"/>
          <w:sz w:val="24"/>
          <w:szCs w:val="24"/>
        </w:rPr>
        <w:fldChar w:fldCharType="begin"/>
      </w:r>
      <w:r>
        <w:rPr>
          <w:rFonts w:ascii="Arial" w:hAnsi="Arial" w:cs="Arial"/>
          <w:color w:val="2F5496" w:themeColor="accent1" w:themeShade="BF"/>
          <w:sz w:val="24"/>
          <w:szCs w:val="24"/>
        </w:rPr>
        <w:instrText xml:space="preserve"> ADDIN ZOTERO_ITEM CSL_CITATION {"citationID":"jCXK6qVh","properties":{"formattedCitation":"(Kickbusch &amp; Szabo, 2013)","plainCitation":"(Kickbusch &amp; Szabo, 2013)","noteIndex":0},"citationItems":[{"id":2210,"uris":["http://zotero.org/users/2351503/items/8PX2FHIQ"],"itemData":{"id":2210,"type":"article-journal","container-title":"Global Health Action","page":"23507","title":"A new governance space for health","volume":"7","author":[{"family":"Kickbusch","given":"Ilona"},{"family":"Szabo","given":"Martina Marianna Cassar"}],"issued":{"date-parts":[["2013"]]}}}],"schema":"https://github.com/citation-style-language/schema/raw/master/csl-citation.json"} </w:instrText>
      </w:r>
      <w:r>
        <w:rPr>
          <w:rFonts w:ascii="Arial" w:hAnsi="Arial" w:cs="Arial"/>
          <w:color w:val="2F5496" w:themeColor="accent1" w:themeShade="BF"/>
          <w:sz w:val="24"/>
          <w:szCs w:val="24"/>
        </w:rPr>
        <w:fldChar w:fldCharType="separate"/>
      </w:r>
      <w:r>
        <w:rPr>
          <w:rFonts w:ascii="Arial" w:hAnsi="Arial" w:cs="Arial"/>
          <w:sz w:val="24"/>
          <w:szCs w:val="24"/>
        </w:rPr>
        <w:t>(Kickbusch &amp; Szabo, 2013)</w:t>
      </w:r>
      <w:r>
        <w:rPr>
          <w:rFonts w:ascii="Arial" w:hAnsi="Arial" w:cs="Arial"/>
          <w:color w:val="2F5496" w:themeColor="accent1" w:themeShade="BF"/>
          <w:sz w:val="24"/>
          <w:szCs w:val="24"/>
        </w:rPr>
        <w:fldChar w:fldCharType="end"/>
      </w:r>
      <w:r>
        <w:rPr>
          <w:rFonts w:ascii="Arial" w:hAnsi="Arial" w:cs="Arial"/>
          <w:sz w:val="24"/>
          <w:szCs w:val="24"/>
        </w:rPr>
        <w:t xml:space="preserve">. Las autoridades nacionales de salud pública implementan una serie de estrategias para hacer frente a desafíos imponentes derivados de la globalización, tales como los cambios climáticos y la polución medioambiental, los movimientos migratorios forzados o la aparición de nuevas fuentes de riesgo para las poblaciones más allá de las fronteras nacionales </w:t>
      </w:r>
      <w:r>
        <w:rPr>
          <w:rFonts w:ascii="Arial" w:hAnsi="Arial" w:cs="Arial"/>
          <w:sz w:val="24"/>
          <w:szCs w:val="24"/>
        </w:rPr>
        <w:fldChar w:fldCharType="begin"/>
      </w:r>
      <w:r>
        <w:rPr>
          <w:rFonts w:ascii="Arial" w:hAnsi="Arial" w:cs="Arial"/>
          <w:sz w:val="24"/>
          <w:szCs w:val="24"/>
        </w:rPr>
        <w:instrText xml:space="preserve"> ADDIN ZOTERO_ITEM CSL_CITATION {"citationID":"nbeFrBEG","properties":{"formattedCitation":"(Frenk &amp; Moon, 2013; Kickbusch, 2000; Labont\\uc0\\u233{}, 2014; Schrecker et al., 2008)","plainCitation":"(Frenk &amp; Moon, 2013; Kickbusch, 2000; Labonté, 2014; Schrecker et al., 2008)","noteIndex":0},"citationItems":[{"id":2248,"uris":["http://zotero.org/users/2351503/items/7I3ENA6A"],"itemData":{"id":2248,"type":"article-journal","abstract":"Global health is at the threshold of a new era. Few times in history has the world faced challenges as complex as those now posed by a trio of threats: first, the unfinished agenda of infections, undernutrition, and reproductive health problems; second, the rising global burden of noncommunicable diseases and their associated risk factors, such as smoking and obesity; and third, the challenges arising from globalization itself, such as the health effects of climate change and trade policies, which demand engagement outside the traditional health sector.1 These threats are evolving within a multifaceted and dynamic global context characterized by great . . .","container-title":"New England Journal of Medicine","DOI":"10.1056/NEJMra1109339","ISSN":"0028-4793","issue":"10","note":"PMID: 23465103","page":"936-942","source":"Taylor and Francis+NEJM","title":"Governance Challenges in Global Health","volume":"368","author":[{"family":"Frenk","given":"Julio"},{"family":"Moon","given":"Suerie"}],"issued":{"date-parts":[["2013",3,7]]}}},{"id":4394,"uris":["http://zotero.org/users/2351503/items/ARLRRM4E"],"itemData":{"id":4394,"type":"article-journal","abstract":"International health governance as it exists today is facing major structural challenges in view of globalization, the increased transfer of international health risks and the mounting challenge of health inequalities worldwide. As a consequence the capacity of nation states to ensure population health and to address major health determinants has been weakened. This paper explores health as an exemplary field to illustrate that we have entered a new era of public policy which is defined by increasing overlaps between domestic and foreign policy, multilateral and bilateral strategies and national and international interest. Cross border spill overs and externalities of national actions need to move into the core of public policy at the national and global level within a new rules based system. A new perspective on global health governance is further necessitated through the increased number of players in the global health arena. The organizational form that is emerging is based on networks and is characterized by shifting alliances and blurred lines of responsibility. The paper explores the emerging paradox of state sovereignty and makes a set of proposals to pool state sovereignty on health and structure the myriad of networks. Particular attention is given to the role of the World Health Organization within this process of change and adjustment. In using a framework from international relations analysis the paper explores how nation states are socialized into accepting new norms, values and perceptions of interest with regard to national and international health and what challenges emerge for the WHO in “inventing” global health policy.","container-title":"Social Science &amp; Medicine","DOI":"10.1016/S0277-9536(00)00076-9","ISSN":"0277-9536","issue":"6","journalAbbreviation":"Social Science &amp; Medicine","page":"979-989","source":"ScienceDirect","title":"The development of international health policies — accountability intact?","volume":"51","author":[{"family":"Kickbusch","given":"Ilona"}],"issued":{"date-parts":[["2000",9,15]]}}},{"id":3118,"uris":["http://zotero.org/users/2351503/items/RAUAG5U6"],"itemData":{"id":3118,"type":"article-journal","abstract":"Health in All Policies (HiAP) approach is generally perceived as an intersectoral approach to national or sub-national public policy development, such that health outcomes are given full consideration by non-health sectors. Globalization, however, has created numerous 'inherently global health issues' with cross-border causes and consequences, requiring new forms of global governance for health. Although such governance often includes both state and non-state (private, civil society) actors in agenda setting and influence, different actors have differing degrees of power and authority and, ultimately, it is states that ratify intergovernmental covenants or normative declarations that directly or indirectly affect health. This requires public health and health promotion practitioners working within countries to give increased attention to the foreign policies of their national governments. These foreign policies include those governing national security, foreign aid, trade and investment as well as the traditional forms of diplomacy. A new term has been coined to describe how health is coming to be positioned in governments' foreign policies: global health diplomacy. To become adept at this nuanced diplomatic practice requires familiarity with the different policy frames by which health might be inserted into the foreign policy deliberations, and thence intergovernmental/global governance negotiations. This article discusses six such frames (security, trade, development, global public goods, human rights, ethical/moral reasoning) that have been analytically useful in assessing the potential for greater and more health-promoting foreign policy coherence: a 'Health in All (Foreign) Policies' approach.","container-title":"Health Promotion International","DOI":"10.1093/heapro/dau031","ISSN":"1460-2245","journalAbbreviation":"Health Promot Int","language":"eng","note":"PMID: 25217356","page":"i48-58","source":"PubMed","title":"Health in All (Foreign) Policy: challenges in achieving coherence","title-short":"Health in All (Foreign) Policy","volume":"29 Suppl 1","author":[{"family":"Labonté","given":"Ronald"}],"issued":{"date-parts":[["2014",6]]}}},{"id":7067,"uris":["http://zotero.org/users/2351503/items/ELBIDZGY"],"itemData":{"id":7067,"type":"article-journal","abstract":"The reduction of health inequities is an ethical imperative, according to the WHO Commission on Social Determinants of Health (CSDH). Drawing on detailed multidisciplinary evidence assembled by the Globalization Knowledge Network that supported the CSDH, we define globalisation in mainly economic terms. We consider and reject the presumption that globalisation will yield health benefits as a result of its contribution to rapid economic growth and associated reductions in poverty. Expanding on this point, we describe four disequalising dynamics by which contemporary globalisation causes divergence: the global reorganisation of production and emergence of a global labour-market; the increasing importance of binding trade agreements and processes to resolve disputes; the rapidly increasing mobility of financial capital; and the persistence of debt crises in developing countries. Generic policies designed to reduce health inequities are described with reference to the three Rs of redistribution, regulation, and rights. We conclude with an examination of the interconnected intellectual and institutional challenges to reduction of health inequities that are created by contemporary globalisation.&lt;/p&gt;","container-title":"The Lancet","DOI":"10.1016/S0140-6736(08)61691-8","ISSN":"0140-6736, 1474-547X","issue":"9650","journalAbbreviation":"The Lancet","language":"English","note":"PMID: 18994665","page":"1670-1676","source":"www.thelancet.com","title":"Globalisation and health: the need for a global vision","title-short":"Globalisation and health","volume":"372","author":[{"family":"Schrecker","given":"Ted"},{"family":"Labonté","given":"Ronald"},{"family":"Vogli","given":"Roberto De"}],"issued":{"date-parts":[["2008",11,8]]}}}],"schema":"https://github.com/citation-style-language/schema/raw/master/csl-citation.json"} </w:instrText>
      </w:r>
      <w:r>
        <w:rPr>
          <w:rFonts w:ascii="Arial" w:hAnsi="Arial" w:cs="Arial"/>
          <w:sz w:val="24"/>
          <w:szCs w:val="24"/>
        </w:rPr>
        <w:fldChar w:fldCharType="separate"/>
      </w:r>
      <w:r>
        <w:rPr>
          <w:rFonts w:ascii="Arial" w:hAnsi="Arial" w:cs="Arial"/>
          <w:kern w:val="0"/>
          <w:sz w:val="24"/>
          <w:szCs w:val="24"/>
        </w:rPr>
        <w:t>(Frenk &amp; Moon, 2013; Kickbusch, 2000; Labonté, 2014; Schrecker et al., 2008)</w:t>
      </w:r>
      <w:r>
        <w:rPr>
          <w:rFonts w:ascii="Arial" w:hAnsi="Arial" w:cs="Arial"/>
          <w:sz w:val="24"/>
          <w:szCs w:val="24"/>
        </w:rPr>
        <w:fldChar w:fldCharType="end"/>
      </w:r>
      <w:r>
        <w:rPr>
          <w:rFonts w:ascii="Arial" w:hAnsi="Arial" w:cs="Arial"/>
          <w:sz w:val="24"/>
          <w:szCs w:val="24"/>
        </w:rPr>
        <w:t xml:space="preserve">. Un ejemplo reciente de ello es el caso de la crisis sociosanitaria y los desafíos socioeconómicos asociados a la pandemia por COVID-19 </w:t>
      </w:r>
      <w:r>
        <w:rPr>
          <w:rFonts w:ascii="Arial" w:hAnsi="Arial" w:cs="Arial"/>
          <w:sz w:val="24"/>
          <w:szCs w:val="24"/>
        </w:rPr>
        <w:fldChar w:fldCharType="begin"/>
      </w:r>
      <w:r>
        <w:rPr>
          <w:rFonts w:ascii="Arial" w:hAnsi="Arial" w:cs="Arial"/>
          <w:sz w:val="24"/>
          <w:szCs w:val="24"/>
        </w:rPr>
        <w:instrText xml:space="preserve"> ADDIN ZOTERO_ITEM CSL_CITATION {"citationID":"wO1FMp8l","properties":{"formattedCitation":"(Buss, 2020; Eliakimu &amp; Mans, 2022)","plainCitation":"(Buss, 2020; Eliakimu &amp; Mans, 2022)","noteIndex":0},"citationItems":[{"id":6448,"uris":["http://zotero.org/users/2351503/items/JUEG9SZF"],"itemData":{"id":6448,"type":"article-journal","abstract":"Em 11 de março de 2020, a Organização Mundial de Saúde (OMS) declarou a doença pelo coronavírus 19 (Covid-19), causada pelo novo coronavírus (Sars-Cov-2), como uma pandemia. Quando escrevo este artigo são mais de 1 milhão de infectados, com mais de 40 mil mortos (letalidade de 4%), em todos os países do mundo. Nas Américas são cerca de 200 mil casos e 4 mil mortos, com os Estados Unidos apresentando cerca de 85%, dos casos e das mortes no continente. No Brasil, são cerca de 6,5 mil casos e mais de 250 mortos (letalidade de 3,8%).","container-title":"Le Monde Diplomatique","title":"De pandemias, desenvolvimento e multilateralismo","URL":"https://diplomatique.org.br/de-pandemias-desenvolvimento-e-multilateralismo/","author":[{"family":"Buss","given":"Paulo M."}],"accessed":{"date-parts":[["2020",4,4]]},"issued":{"date-parts":[["2020"]],"season":"de Abril de"}}},{"id":20519,"uris":["http://zotero.org/users/2351503/items/HFLYD4I4"],"itemData":{"id":20519,"type":"article-journal","abstract":"Sustainable development goals (SDGs) adopted in 2015 are geared toward sustainable development through various pathways, one being reducing inequality as covered in SDG 10. Inequalities are a threat to health and wellbeing of populations and a planet Earth in which we live. This rapid review aims to identify key issues that are likely to exacerbate inequalities around the six SDGs directly related to One Health, which are SDG 3, 6, 11, 13, 14 and 15, and suggest some actions that may help to address them using inclusive governance taking into account the coronavirus disease of 2019 (COVID-19) pandemic. Informed by the literature on SDGs and using the “inclusive development concept” by Gupta and Vegelin, literature search was done in Google Scholar, PubMed Central, as well as, searching of references in the relevant articles identified using search terms from the six SDGs that are directly related to One Health. In the context of the SDGs, in order to achieve One Health through inclusive governance, and tackle inequalities, the following needs to be considered and addressed: increasing number of armed conflicts; ongoing COVID-19 pandemic; ensuring availability of water and sanitation facilities; improving city and urban areas planning to cope with climate change; improving governance arrangements for addressing climate change factoring gender and human rights; multisectoral planning for conservation of oceans, seas, and marine resources; balancing trade regulation of wildlife trade with conservation efforts; need for a research collaborative involving experts from environmental sciences, wildlife, agriculture and human health to study and develop scientific evidence on contribution of changes in land use practices to occurrence of zoonotic diseases; and need of a legislation for promoting animal welfare to protect public health. Also, inclusion of people with disabilities in the use of digital technologies is critical.","container-title":"Frontiers in Public Health","ISSN":"2296-2565","source":"Frontiers","title":"Addressing Inequalities Toward Inclusive Governance for Achieving One Health: A Rapid Review","title-short":"Addressing Inequalities Toward Inclusive Governance for Achieving One Health","URL":"https://www.frontiersin.org/articles/10.3389/fpubh.2021.755285","volume":"9","author":[{"family":"Eliakimu","given":"Eliudi S."},{"family":"Mans","given":"Linda"}],"accessed":{"date-parts":[["2023",1,26]]},"issued":{"date-parts":[["2022"]]}}}],"schema":"https://github.com/citation-style-language/schema/raw/master/csl-citation.json"} </w:instrText>
      </w:r>
      <w:r>
        <w:rPr>
          <w:rFonts w:ascii="Arial" w:hAnsi="Arial" w:cs="Arial"/>
          <w:sz w:val="24"/>
          <w:szCs w:val="24"/>
        </w:rPr>
        <w:fldChar w:fldCharType="separate"/>
      </w:r>
      <w:r>
        <w:rPr>
          <w:rFonts w:ascii="Arial" w:hAnsi="Arial" w:cs="Arial"/>
          <w:sz w:val="24"/>
          <w:szCs w:val="24"/>
        </w:rPr>
        <w:t>(Buss, 2020; Eliakimu &amp; Mans, 2022)</w:t>
      </w:r>
      <w:r>
        <w:rPr>
          <w:rFonts w:ascii="Arial" w:hAnsi="Arial" w:cs="Arial"/>
          <w:sz w:val="24"/>
          <w:szCs w:val="24"/>
        </w:rPr>
        <w:fldChar w:fldCharType="end"/>
      </w:r>
    </w:p>
    <w:p w14:paraId="61C98677" w14:textId="77777777" w:rsidR="0093626A" w:rsidRDefault="0093626A" w:rsidP="00634580">
      <w:pPr>
        <w:spacing w:after="0" w:line="360" w:lineRule="auto"/>
        <w:ind w:firstLine="708"/>
        <w:jc w:val="both"/>
        <w:rPr>
          <w:rFonts w:ascii="Arial" w:hAnsi="Arial" w:cs="Arial"/>
          <w:sz w:val="24"/>
          <w:szCs w:val="24"/>
        </w:rPr>
      </w:pPr>
    </w:p>
    <w:p w14:paraId="0B387FEA" w14:textId="77777777" w:rsidR="0093626A" w:rsidRDefault="00000000" w:rsidP="00634580">
      <w:pPr>
        <w:spacing w:after="0" w:line="360" w:lineRule="auto"/>
        <w:ind w:firstLine="708"/>
        <w:jc w:val="both"/>
        <w:rPr>
          <w:rFonts w:ascii="Arial" w:hAnsi="Arial" w:cs="Arial"/>
          <w:sz w:val="24"/>
          <w:szCs w:val="24"/>
          <w:highlight w:val="yellow"/>
        </w:rPr>
      </w:pPr>
      <w:r>
        <w:rPr>
          <w:rFonts w:ascii="Arial" w:hAnsi="Arial" w:cs="Arial"/>
          <w:sz w:val="24"/>
          <w:szCs w:val="24"/>
        </w:rPr>
        <w:t xml:space="preserve">Sin embargo, muchas de estas iniciativas – concebidas centralmente a nivel internacional y a contrarreloj –, no suelen tomar en consideración la idiosincrasia de los territorios ni la contribución de los actores locales </w:t>
      </w:r>
      <w:r>
        <w:rPr>
          <w:rFonts w:ascii="Arial" w:hAnsi="Arial" w:cs="Arial"/>
          <w:sz w:val="24"/>
          <w:szCs w:val="24"/>
        </w:rPr>
        <w:fldChar w:fldCharType="begin"/>
      </w:r>
      <w:r>
        <w:rPr>
          <w:rFonts w:ascii="Arial" w:hAnsi="Arial" w:cs="Arial"/>
          <w:sz w:val="24"/>
          <w:szCs w:val="24"/>
        </w:rPr>
        <w:instrText xml:space="preserve"> ADDIN ZOTERO_ITEM CSL_CITATION {"citationID":"Wx4rOCnM","properties":{"formattedCitation":"(Lawrence &amp; Gyapong, 2020)","plainCitation":"(Lawrence &amp; Gyapong, 2020)","noteIndex":0},"citationItems":[{"id":7548,"uris":["http://zotero.org/users/2351503/items/K6F3RE7T"],"itemData":{"id":7548,"type":"article-journal","abstract":"Global health research is a discipline in which it is highly possible to cause more harm than good. Universally, the conduct of ethical research is bound by int","container-title":"International Health","DOI":"10.1093/inthealth/ihaa082","issue":"6","journalAbbreviation":"Int Health","language":"en","page":"507-508","source":"academic.oup.com","title":"Spotlight on global health research","volume":"12","author":[{"family":"Lawrence","given":"David S."},{"family":"Gyapong","given":"Margaret"}],"issued":{"date-parts":[["2020",11,9]]}}}],"schema":"https://github.com/citation-style-language/schema/raw/master/csl-citation.json"} </w:instrText>
      </w:r>
      <w:r>
        <w:rPr>
          <w:rFonts w:ascii="Arial" w:hAnsi="Arial" w:cs="Arial"/>
          <w:sz w:val="24"/>
          <w:szCs w:val="24"/>
        </w:rPr>
        <w:fldChar w:fldCharType="separate"/>
      </w:r>
      <w:r>
        <w:rPr>
          <w:rFonts w:ascii="Arial" w:hAnsi="Arial" w:cs="Arial"/>
          <w:sz w:val="24"/>
          <w:szCs w:val="24"/>
        </w:rPr>
        <w:t>(Lawrence &amp; Gyapong, 2020)</w:t>
      </w:r>
      <w:r>
        <w:rPr>
          <w:rFonts w:ascii="Arial" w:hAnsi="Arial" w:cs="Arial"/>
          <w:sz w:val="24"/>
          <w:szCs w:val="24"/>
        </w:rPr>
        <w:fldChar w:fldCharType="end"/>
      </w:r>
      <w:r>
        <w:rPr>
          <w:rFonts w:ascii="Arial" w:hAnsi="Arial" w:cs="Arial"/>
          <w:sz w:val="24"/>
          <w:szCs w:val="24"/>
        </w:rPr>
        <w:t xml:space="preserve">. Así, los investigadores del campo de la Salud Global </w:t>
      </w:r>
      <w:r>
        <w:rPr>
          <w:rFonts w:ascii="Arial" w:hAnsi="Arial" w:cs="Arial"/>
          <w:sz w:val="24"/>
          <w:szCs w:val="24"/>
          <w:shd w:val="clear" w:color="auto" w:fill="FFFFFF" w:themeFill="background1"/>
        </w:rPr>
        <w:t>deben mostrarse</w:t>
      </w:r>
      <w:r>
        <w:rPr>
          <w:rFonts w:ascii="Arial" w:hAnsi="Arial" w:cs="Arial"/>
          <w:sz w:val="24"/>
          <w:szCs w:val="24"/>
        </w:rPr>
        <w:t xml:space="preserve"> particularmente receptivos a la relación existente entre, por un lado, la configuración de las políticas internacionales de salud pública que se estructuran a nivel global y por el otro, las acciones colectivas desempeñadas por los actores locales en entornos concretos </w:t>
      </w:r>
      <w:r>
        <w:rPr>
          <w:rFonts w:ascii="Arial" w:hAnsi="Arial" w:cs="Arial"/>
          <w:color w:val="2F5496" w:themeColor="accent1" w:themeShade="BF"/>
          <w:sz w:val="24"/>
          <w:szCs w:val="24"/>
        </w:rPr>
        <w:fldChar w:fldCharType="begin"/>
      </w:r>
      <w:r>
        <w:rPr>
          <w:rFonts w:ascii="Arial" w:hAnsi="Arial" w:cs="Arial"/>
          <w:color w:val="2F5496" w:themeColor="accent1" w:themeShade="BF"/>
          <w:sz w:val="24"/>
          <w:szCs w:val="24"/>
        </w:rPr>
        <w:instrText xml:space="preserve"> ADDIN ZOTERO_ITEM CSL_CITATION {"citationID":"W0SrPTi5","properties":{"formattedCitation":"(Kickbusch, 2006; Paul et al., 2020)","plainCitation":"(Kickbusch, 2006; Paul et al., 2020)","noteIndex":0},"citationItems":[{"id":3379,"uris":["http://zotero.org/users/2351503/items/GU487FGG"],"itemData":{"id":3379,"type":"article-journal","abstract":"We are challenged to develop a public health approach that responds to the globalized world. The present global health crisis is not primarily one of disease, but of governance: its key characteristic is a weakening of public policy and interstate mechanisms as a consequence of global restructuring. The response needs to focus on the political determinants of health, in particular on mechanisms that help ensure the global public goods that are required for a more equitable and secure development. A first step in this direction would be to take up the proposal from the recent 6th Global Conference on Health Promotion to explore the possibility of a new type of global health treaty which would help to establish the new parameters of global health governance. National public health associations should take the lead to establish health as a global public good and organize \"National Global Health Summits'' to discuss the possible mechanisms for the necessary political process. This means putting global health governance issues onto the agenda of other sectors such as foreign policy, as health is critical not only for poverty reduction but for human security as a whole. Nous avons un défi à relever : celui de concevoir une démarche de santé publique adaptée à la mondialisation. La crise actuelle de la santé à l'échelle mondiale n'est pas principalement liée aux maladies, mais aux lacunes de la gouvernance; ses grandes caractéristiques sont l'affaiblissement des politiques gouvernementales et des mécanismes inter-étatiques en raison de la restructuration planétaire. Nos interventions doivent donc porter sur les déterminants politiques de la santé, tout particulièrement sur les mécanismes qui aideront à préserver les biens publics mondiaux nécessaires à un développement sûr et équitable. Récemment, les délégués à la 6e Conférence mondiale sur la promotion de la santé ont proposé un traité « nouveau genre » qui établirait les nouveaux paramètres de la gouvernance mondiale de la santé. Reprendre cette proposition serait un pas dans la bonne direction. Les associations nationales pour la santé publique doivent prêcher l'exemple en présentant la santé comme un bien public mondial et en organisant des « sommets nationaux sur la santé mondiale » pour discuter des mécanismes éventuels du processus politique nécessaire. Il faut pour cela inscrire les questions de gouvernance mondiale de la santé aux programmes d'autres secteurs, comme la politique étrangère, car la santé est indispensable non seulement à la réduction de la pauvreté, mais pour tout ce qui concerne la sécurité humaine.","container-title":"Canadian Journal of Public Health / Revue Canadienne de Santé Publique","ISSN":"0008-4263","issue":"1","page":"6-8","source":"JSTOR","title":"Mapping the Future of Public Health: Action on Global Health","title-short":"Mapping the Future of Public Health","volume":"97","author":[{"family":"Kickbusch","given":"Ilona"}],"issued":{"date-parts":[["2006"]]}}},{"id":6960,"uris":["http://zotero.org/users/2351503/items/FWC3LCP7"],"itemData":{"id":6960,"type":"article-journal","abstract":"### Key messages\n\nThe WHO declared the novel coronavirus disease 2019 (COVID-19) an ‘emergency of international concern’ on 30 January 2020 and a pandemic on 11 March. According to WHO’s Situation Report - 79, as of 8 April 2020, the epidemic has caused 79 235 deaths worldwide.1 While it is seemingly nearing its end in China, where it was first reported, it is still on the rise in Europe, in the USA and in other parts of the world, including in many low-income and middle-income countries (LMICs). The pandemic has triggered unprecedented measures worldwide. Many countries have installed travel bans, confinement and lockdown policies. These responses have been adopted in an ‘emergency’ mode, and are largely reactionary, aimed at mitigating the spread …","container-title":"BMJ Global Health","DOI":"10.1136/bmjgh-2020-002622","ISSN":"2059-7908","issue":"4","language":"en","license":"© Author(s) (or their employer(s)) 2020. Re-use permitted under CC BY-NC. No commercial re-use. See rights and permissions. Published by BMJ.. http://creativecommons.org/licenses/by-nc/4.0/This is an open access article distributed in accordance with the Creative Commons Attribution Non Commercial (CC BY-NC 4.0) license, which permits others to distribute, remix, adapt, build upon this work non-commercially, and license their derivative works on different terms, provided the original work is properly cited, appropriate credit is given, any changes made indicated, and the use is non-commercial. See: http://creativecommons.org/licenses/by-nc/4.0/.","page":"e002622","source":"gh.bmj.com","title":"COVID-19: time for paradigm shift in the nexus between local, national and global health","title-short":"COVID-19","volume":"5","author":[{"family":"Paul","given":"Elisabeth"},{"family":"Brown","given":"Garrett W."},{"family":"Ridde","given":"Valery"}],"issued":{"date-parts":[["2020",4,1]]}}}],"schema":"https://github.com/citation-style-language/schema/raw/master/csl-citation.json"} </w:instrText>
      </w:r>
      <w:r>
        <w:rPr>
          <w:rFonts w:ascii="Arial" w:hAnsi="Arial" w:cs="Arial"/>
          <w:color w:val="2F5496" w:themeColor="accent1" w:themeShade="BF"/>
          <w:sz w:val="24"/>
          <w:szCs w:val="24"/>
        </w:rPr>
        <w:fldChar w:fldCharType="separate"/>
      </w:r>
      <w:r>
        <w:rPr>
          <w:rFonts w:ascii="Arial" w:hAnsi="Arial" w:cs="Arial"/>
          <w:sz w:val="24"/>
          <w:szCs w:val="24"/>
        </w:rPr>
        <w:t>(Kickbusch, 2006; Paul et al., 2020)</w:t>
      </w:r>
      <w:r>
        <w:rPr>
          <w:rFonts w:ascii="Arial" w:hAnsi="Arial" w:cs="Arial"/>
          <w:color w:val="2F5496" w:themeColor="accent1" w:themeShade="BF"/>
          <w:sz w:val="24"/>
          <w:szCs w:val="24"/>
        </w:rPr>
        <w:fldChar w:fldCharType="end"/>
      </w:r>
      <w:r>
        <w:rPr>
          <w:rFonts w:ascii="Arial" w:hAnsi="Arial" w:cs="Arial"/>
          <w:color w:val="2F5496" w:themeColor="accent1" w:themeShade="BF"/>
          <w:sz w:val="24"/>
          <w:szCs w:val="24"/>
        </w:rPr>
        <w:t>.</w:t>
      </w:r>
    </w:p>
    <w:p w14:paraId="5A20412A" w14:textId="77777777" w:rsidR="0093626A" w:rsidRDefault="00000000" w:rsidP="00634580">
      <w:pPr>
        <w:spacing w:after="0" w:line="360" w:lineRule="auto"/>
        <w:ind w:firstLine="708"/>
        <w:jc w:val="both"/>
        <w:rPr>
          <w:rFonts w:ascii="Arial" w:hAnsi="Arial" w:cs="Arial"/>
          <w:sz w:val="24"/>
          <w:szCs w:val="24"/>
        </w:rPr>
      </w:pPr>
      <w:r>
        <w:rPr>
          <w:rFonts w:ascii="Arial" w:hAnsi="Arial" w:cs="Arial"/>
          <w:sz w:val="24"/>
          <w:szCs w:val="24"/>
        </w:rPr>
        <w:lastRenderedPageBreak/>
        <w:t xml:space="preserve">Esta realidad dual </w:t>
      </w:r>
      <w:r>
        <w:rPr>
          <w:rFonts w:ascii="Arial" w:hAnsi="Arial" w:cs="Arial"/>
          <w:sz w:val="24"/>
          <w:szCs w:val="24"/>
          <w:shd w:val="clear" w:color="auto" w:fill="FFFFFF" w:themeFill="background1"/>
        </w:rPr>
        <w:t>– y con frecuencia paradójica –</w:t>
      </w:r>
      <w:r>
        <w:rPr>
          <w:rFonts w:ascii="Arial" w:hAnsi="Arial" w:cs="Arial"/>
          <w:sz w:val="24"/>
          <w:szCs w:val="24"/>
        </w:rPr>
        <w:t xml:space="preserve"> nos muestra claramente la pertinencia de establecer una agenda internacional de investigación en el campo de la Salud Global </w:t>
      </w:r>
      <w:r>
        <w:rPr>
          <w:rFonts w:ascii="Arial" w:hAnsi="Arial" w:cs="Arial"/>
          <w:sz w:val="24"/>
          <w:szCs w:val="24"/>
        </w:rPr>
        <w:fldChar w:fldCharType="begin"/>
      </w:r>
      <w:r>
        <w:rPr>
          <w:rFonts w:ascii="Arial" w:hAnsi="Arial" w:cs="Arial"/>
          <w:sz w:val="24"/>
          <w:szCs w:val="24"/>
        </w:rPr>
        <w:instrText xml:space="preserve"> ADDIN ZOTERO_ITEM CSL_CITATION {"citationID":"uZEgGGaD","properties":{"formattedCitation":"(Atkins et al., 2016; Maleka et al., 2019)","plainCitation":"(Atkins et al., 2016; Maleka et al., 2019)","noteIndex":0},"citationItems":[{"id":215,"uris":["http://zotero.org/users/2351503/items/LHDKHSAV"],"itemData":{"id":215,"type":"article-journal","abstract":"Research capacity enhancement is needed in low- and middle-income countries (LMICs) for improved health, wellbeing, and health systems’ development. In this article, we discuss two capacity-building projects, the African/Asian Regional Capacity Development (ARCADE) in Health Systems and Services Research (HSSR) and Research on Social Determinants of Health (RSDH), implemented from 2011 to 2015. The two projects focussed on providing courses in HSSR and social determinants of health research, and on developing collaborations between universities, along with capacity in LMIC universities to manage research grant submissions, financing, and reporting. Both face-to-face and sustainable online teaching and learning resources were used in training at higher postgraduate levels (Masters and Doctoral level).DesignWe collated project meeting and discussion minutes along with project periodic reports and deliverables. We extracted key outcomes from these, reflected on these in discussions, and summarised them for this paper.ResultsNearly 55 courses and modules were developed that were delivered to over 920 postgraduate students in Africa, Asia, and Europe. Junior researchers were mentored in presenting, developing, and delivering courses, and in preparing research proposals. In total, 60 collaborative funding proposals were prepared. The consortia also developed institutional capacity in research dissemination and grants management through webinars and workshops.DiscussionARCADE HSSR and ARCADE RSDH were comprehensive programmes, focussing on developing the research skills, knowledge, and capabilities of junior researchers. One of the main strengths of these programmes was the focus on network building amongst the partner institutions, where each partner brought skills, expertise, and diverse work cultures into the consortium. Through these efforts, the projects improved both the capacity of junior researchers and the research environment in Africa, Asia, and Europe.","container-title":"Global Health Action","DOI":"10.3402/gha.v9.30524","ISSN":"1654-9716","issue":"1","note":"PMID: 28156992","page":"30524","source":"Taylor and Francis+NEJM","title":"North–south collaboration and capacity development in global health research in low- and middle-income countries – the ARCADE projects","volume":"9","author":[{"family":"Atkins","given":"Salla"},{"family":"Marsden","given":"Sophie"},{"family":"Diwan","given":"Vishal"},{"family":"Zwarenstein","given":"Merrick"}],"issued":{"date-parts":[["2016",12,1]]}}},{"id":222,"uris":["http://zotero.org/users/2351503/items/7IZIG8AS"],"itemData":{"id":222,"type":"article-journal","abstract":"Background: Global health research partnerships, which promote the exchange of ideas, knowledge and expertise across countries, are considered key to addressing complex challenges facing health systems. Yet, many studies report inequalities in these partnerships, particularly in those between high and low-and-middle-income countries (LMICs).Objective: This paper examines global research collaborations on community health worker (CHW) programmes, specifically analysing the structures of authorship teams and networks in publications reporting research on CHW programmes in low-income countries (LICs).Methods: A sub-set of 206 indexed journal articles reporting on CHW programmes in LICs was purposefully selected from a prior review of research authorship on CHW programmes in all LMICs over a five year period (2012–2016). Data on country and primary organisational affiliation and number of publications for all individual authors, programme area (e.g. maternal child health) and total citations per paper were extracted and coded in excel spreadsheets. Data were then exported and analysed in Stata/ICV.14 and Gephi.Results: The 206 papers were authored by 1045 authors from 299 institutions, based in 43 countries. Half (50.1%) the authors came from LIC-based institutions, 43.8% from high-income country (HIC) institutions, 2.9% from middle-income country (MIC) institutions and 3.2% had different first affiliations in different publications. Authors based in the USA (302) and UK (68) accounted for just over a third (35.4%) of all authors. Partnership patterns revealed a primary mode of North–South collaboration with authors from the US, and to a lesser extent the UK, playing central bridging roles between institutions. Strong network clusters of multiple-affiliated authors were evident in research on MCH and HIV/TB aspects of CHW programmes.Conclusion: Knowledge production on CHW programmes in LICs flows predominantly through a pool of connected HIC authors and North–South collaborations. There is a need for strategies harnessing more diverse, including South–South, forms of partnership.","container-title":"Global Health Action","DOI":"10.1080/16549716.2019.1606570","ISSN":"1654-9716","issue":"1","note":"PMID: 31066343","page":"1606570","source":"Taylor and Francis+NEJM","title":"Research collaboration on community health worker programmes in low-income countries: an analysis of authorship teams and networks","title-short":"Research collaboration on community health worker programmes in low-income countries","volume":"12","author":[{"family":"Maleka","given":"Elma Nelisiwe"},{"family":"Currie","given":"Paul"},{"family":"Schneider","given":"Helen"}],"issued":{"date-parts":[["2019",1,1]]}}}],"schema":"https://github.com/citation-style-language/schema/raw/master/csl-citation.json"} </w:instrText>
      </w:r>
      <w:r>
        <w:rPr>
          <w:rFonts w:ascii="Arial" w:hAnsi="Arial" w:cs="Arial"/>
          <w:sz w:val="24"/>
          <w:szCs w:val="24"/>
        </w:rPr>
        <w:fldChar w:fldCharType="separate"/>
      </w:r>
      <w:r>
        <w:rPr>
          <w:rFonts w:ascii="Arial" w:hAnsi="Arial" w:cs="Arial"/>
          <w:sz w:val="24"/>
          <w:szCs w:val="24"/>
        </w:rPr>
        <w:t>(Atkins et al., 2016; Maleka et al., 2019)</w:t>
      </w:r>
      <w:r>
        <w:rPr>
          <w:rFonts w:ascii="Arial" w:hAnsi="Arial" w:cs="Arial"/>
          <w:sz w:val="24"/>
          <w:szCs w:val="24"/>
        </w:rPr>
        <w:fldChar w:fldCharType="end"/>
      </w:r>
      <w:r>
        <w:rPr>
          <w:rFonts w:ascii="Arial" w:hAnsi="Arial" w:cs="Arial"/>
          <w:sz w:val="24"/>
          <w:szCs w:val="24"/>
        </w:rPr>
        <w:t xml:space="preserve"> con un enfoque eminentemente colaborativo. </w:t>
      </w:r>
      <w:r>
        <w:rPr>
          <w:rFonts w:ascii="Arial" w:hAnsi="Arial" w:cs="Arial"/>
          <w:sz w:val="24"/>
          <w:szCs w:val="24"/>
          <w:shd w:val="clear" w:color="auto" w:fill="FFFFFF" w:themeFill="background1"/>
        </w:rPr>
        <w:t>Estas unidades de</w:t>
      </w:r>
      <w:r>
        <w:rPr>
          <w:rFonts w:ascii="Arial" w:hAnsi="Arial" w:cs="Arial"/>
          <w:sz w:val="24"/>
          <w:szCs w:val="24"/>
        </w:rPr>
        <w:t xml:space="preserve"> investigación, por su carácter participativo, tienen en cuenta la contribución de los actores locales en la creación de conocimiento en salud, creando a su vez un vínculo constante con otras unidades de investigación que desarrollan sus proyectos en otros contextos a nivel internacional </w:t>
      </w:r>
      <w:r>
        <w:rPr>
          <w:rFonts w:ascii="Arial" w:hAnsi="Arial" w:cs="Arial"/>
          <w:sz w:val="24"/>
          <w:szCs w:val="24"/>
        </w:rPr>
        <w:fldChar w:fldCharType="begin"/>
      </w:r>
      <w:r>
        <w:rPr>
          <w:rFonts w:ascii="Arial" w:hAnsi="Arial" w:cs="Arial"/>
          <w:sz w:val="24"/>
          <w:szCs w:val="24"/>
        </w:rPr>
        <w:instrText xml:space="preserve"> ADDIN ZOTERO_ITEM CSL_CITATION {"citationID":"nWJOB8fG","properties":{"formattedCitation":"(Roebbel et al., 2022)","plainCitation":"(Roebbel et al., 2022)","noteIndex":0},"citationItems":[{"id":8924,"uris":["http://zotero.org/users/2351503/items/Q3KPN3FR"],"itemData":{"id":8924,"type":"article-journal","container-title":"Bulletin of the World Health Organization","DOI":"10.2471/BLT.22.289135","ISSN":"0042-9686","issue":"12","journalAbbreviation":"Bull World Health Organ","note":"PMID: null\nPMCID: PMC9706356","page":"750-750A","source":"PubMed Central","title":"Global research priorities for urban health","volume":"100","author":[{"family":"Roebbel","given":"Nathalie"},{"family":"Sa","given":"Thiago Herick","non-dropping-particle":"de"},{"family":"Neira","given":"Maria"},{"family":"Krug","given":"Etienne"}],"issued":{"date-parts":[["2022",12,1]]}}}],"schema":"https://github.com/citation-style-language/schema/raw/master/csl-citation.json"} </w:instrText>
      </w:r>
      <w:r>
        <w:rPr>
          <w:rFonts w:ascii="Arial" w:hAnsi="Arial" w:cs="Arial"/>
          <w:sz w:val="24"/>
          <w:szCs w:val="24"/>
        </w:rPr>
        <w:fldChar w:fldCharType="separate"/>
      </w:r>
      <w:r>
        <w:rPr>
          <w:rFonts w:ascii="Arial" w:hAnsi="Arial" w:cs="Arial"/>
          <w:sz w:val="24"/>
          <w:szCs w:val="24"/>
        </w:rPr>
        <w:t>(Roebbel et al., 2022)</w:t>
      </w:r>
      <w:r>
        <w:rPr>
          <w:rFonts w:ascii="Arial" w:hAnsi="Arial" w:cs="Arial"/>
          <w:sz w:val="24"/>
          <w:szCs w:val="24"/>
        </w:rPr>
        <w:fldChar w:fldCharType="end"/>
      </w:r>
      <w:r>
        <w:rPr>
          <w:rFonts w:ascii="Arial" w:hAnsi="Arial" w:cs="Arial"/>
          <w:sz w:val="24"/>
          <w:szCs w:val="24"/>
        </w:rPr>
        <w:t>. Pero esta dualidad de perspectivas analíticas en el campo de la Salud Global no está exenta de problemas de carácter organizativo, epistemológico y ético que debemos tomar en consideración.</w:t>
      </w:r>
    </w:p>
    <w:p w14:paraId="2270CB3D" w14:textId="77777777" w:rsidR="0093626A" w:rsidRDefault="0093626A" w:rsidP="005915A7">
      <w:pPr>
        <w:spacing w:after="0" w:line="360" w:lineRule="auto"/>
        <w:jc w:val="both"/>
        <w:rPr>
          <w:rFonts w:ascii="Arial" w:hAnsi="Arial" w:cs="Arial"/>
          <w:sz w:val="24"/>
          <w:szCs w:val="24"/>
        </w:rPr>
      </w:pPr>
    </w:p>
    <w:p w14:paraId="5C31BAFA" w14:textId="77777777" w:rsidR="0093626A" w:rsidRDefault="00000000" w:rsidP="00634580">
      <w:pPr>
        <w:spacing w:after="0" w:line="360" w:lineRule="auto"/>
        <w:ind w:firstLine="708"/>
        <w:jc w:val="both"/>
        <w:rPr>
          <w:rFonts w:ascii="Arial" w:hAnsi="Arial" w:cs="Arial"/>
          <w:sz w:val="24"/>
          <w:szCs w:val="24"/>
        </w:rPr>
      </w:pPr>
      <w:r>
        <w:rPr>
          <w:rFonts w:ascii="Arial" w:hAnsi="Arial" w:cs="Arial"/>
          <w:sz w:val="24"/>
          <w:szCs w:val="24"/>
        </w:rPr>
        <w:t>En este capítulo, postulamos que el desarrollo de una</w:t>
      </w:r>
      <w:r>
        <w:rPr>
          <w:rFonts w:ascii="Arial" w:hAnsi="Arial" w:cs="Arial"/>
          <w:i/>
          <w:iCs/>
          <w:sz w:val="24"/>
          <w:szCs w:val="24"/>
        </w:rPr>
        <w:t xml:space="preserve"> red transnacional de investigación colaborativa</w:t>
      </w:r>
      <w:r>
        <w:rPr>
          <w:rFonts w:ascii="Arial" w:hAnsi="Arial" w:cs="Arial"/>
          <w:sz w:val="24"/>
          <w:szCs w:val="24"/>
        </w:rPr>
        <w:t xml:space="preserve"> permitiría una alineación razonable entre una visión panorámica de los desafíos emergentes de salud pública y la orquestación </w:t>
      </w:r>
      <w:r>
        <w:rPr>
          <w:rFonts w:ascii="Arial" w:hAnsi="Arial" w:cs="Arial"/>
          <w:i/>
          <w:iCs/>
          <w:sz w:val="24"/>
          <w:szCs w:val="24"/>
        </w:rPr>
        <w:t>in situ</w:t>
      </w:r>
      <w:r>
        <w:rPr>
          <w:rFonts w:ascii="Arial" w:hAnsi="Arial" w:cs="Arial"/>
          <w:sz w:val="24"/>
          <w:szCs w:val="24"/>
        </w:rPr>
        <w:t xml:space="preserve"> de prácticas locales de investigación aplicada </w:t>
      </w:r>
      <w:r>
        <w:rPr>
          <w:rFonts w:ascii="Arial" w:hAnsi="Arial" w:cs="Arial"/>
          <w:sz w:val="24"/>
          <w:szCs w:val="24"/>
        </w:rPr>
        <w:fldChar w:fldCharType="begin"/>
      </w:r>
      <w:r>
        <w:rPr>
          <w:rFonts w:ascii="Arial" w:hAnsi="Arial" w:cs="Arial"/>
          <w:sz w:val="24"/>
          <w:szCs w:val="24"/>
        </w:rPr>
        <w:instrText xml:space="preserve"> ADDIN ZOTERO_ITEM CSL_CITATION {"citationID":"0Nm503UN","properties":{"formattedCitation":"(Ward et al., 2018; Ziegahn et al., 2020)","plainCitation":"(Ward et al., 2018; Ziegahn et al., 2020)","noteIndex":0},"citationItems":[{"id":5654,"uris":["http://zotero.org/users/2351503/items/8SN9BNPK"],"itemData":{"id":5654,"type":"article-journal","abstract":"Community-based participatory research (CBPR) approaches present strong opportunities to promote health equity by improving health within low-income communities and communities of color. CBPR principles and evaluation frameworks highlight an emphasis on equitable group dynamics (e.g., shared leadership and power, participatory decision-making, two-way open communication) that promote both equitable processes within partnerships and health equity in the communities with whom they engage. The development of an evaluation framework that describes the manner in which equitable group dynamics promote intermediate and long-term equity outcomes can aid partners in assessing their ability to work together effectively and improve health equity in the broader community. CBPR principles align with health equity evaluation guidelines recently developed for Health Impact Assessments (HIAs), which emphasize meaningful engagement of communities in decision-making processes that influence their health. In this paper, we propose a synergistic framework integrating contributions from CBPR and HIA evaluation frameworks in order to guide efforts to evaluate partnership effectiveness in addressing health inequities. We suggest specific indicators that might be used to assess partnership effectiveness in addressing health equity and discuss implications for evaluation of partnership approaches to address health equity.","container-title":"Evaluation and Program Planning","DOI":"10.1016/j.evalprogplan.2018.04.014","ISSN":"0149-7189","journalAbbreviation":"Evaluation and Program Planning","page":"25-34","source":"ScienceDirect","title":"A conceptual framework for evaluating health equity promotion within community-based participatory research partnerships","volume":"70","author":[{"family":"Ward","given":"Melanie"},{"family":"Schulz","given":"Amy J."},{"family":"Israel","given":"Barbara A."},{"family":"Rice","given":"Kristina"},{"family":"Martenies","given":"Sheena E."},{"family":"Markarian","given":"Evan"}],"issued":{"date-parts":[["2018",10,1]]}}},{"id":5770,"uris":["http://zotero.org/users/2351503/items/GZS8TWJ6"],"itemData":{"id":5770,"type":"article-journal","abstract":"Collaboration between academic researchers and community members, clinicians, and organizations is valued at all levels of the program development process in community-engaged health research (CEnR). This descriptive study examined a convenience sample of 30 projects addressing training in CEnR methods and strategies within the Clinical and Translational Science Awards (CTSA) consortium. Projects were selected from among posters presented at an annual community engagement conference over a 3-year period. Study goals were to learn more about how community participation in the design process affected selection of training topics, how distinct community settings influenced the selection of training formats, and the role of evaluation in preparing training participants to pursue future health research programming. Results indicated (1) a modest increase in training topics that reflected community health priorities as a result of community (as well as academic) participation at the program design stage, (2) a wide range of community-based settings for CEnR training programs, and (3) the majority of respondents conducted evaluations, which led in turn to revisions in the curricula for future training sessions. Practice and research implications are that the collaboration displayed by academic community teams around CEnR training should be traced to see if this participatory practice transfers to the design of health promotion programs. Second, collaborative training design tenets, community formats and settings, and evaluation strategies should be disseminated throughout the CTSA network and beyond. Third, common evaluative metrics and indicators of success for CEnR training programs should be identified across CTSA institutions.","container-title":"Health Promotion Practice","DOI":"10.1177/1524839919894948","ISSN":"1524-8399, 1552-6372","journalAbbreviation":"Health Promotion Practice","language":"en","page":"152483991989494","source":"DOI.org (Crossref)","title":"Collaboration and Context in the Design of Community-Engaged Research Training","author":[{"family":"Ziegahn","given":"Linda"},{"family":"Joosten","given":"Yvonne"},{"family":"Nevarez","given":"Lucinda"},{"family":"Hurd","given":"Thelma"},{"family":"Evans","given":"Jill"},{"family":"Dumbauld","given":"Jill"},{"family":"Eder","given":"Milton “Mickey”"}],"issued":{"date-parts":[["2020",1,17]]}}}],"schema":"https://github.com/citation-style-language/schema/raw/master/csl-citation.json"} </w:instrText>
      </w:r>
      <w:r>
        <w:rPr>
          <w:rFonts w:ascii="Arial" w:hAnsi="Arial" w:cs="Arial"/>
          <w:sz w:val="24"/>
          <w:szCs w:val="24"/>
        </w:rPr>
        <w:fldChar w:fldCharType="separate"/>
      </w:r>
      <w:r>
        <w:rPr>
          <w:rFonts w:ascii="Arial" w:hAnsi="Arial" w:cs="Arial"/>
          <w:sz w:val="24"/>
          <w:szCs w:val="24"/>
        </w:rPr>
        <w:t>(Ward et al., 2018; Ziegahn et al., 2020)</w:t>
      </w:r>
      <w:r>
        <w:rPr>
          <w:rFonts w:ascii="Arial" w:hAnsi="Arial" w:cs="Arial"/>
          <w:sz w:val="24"/>
          <w:szCs w:val="24"/>
        </w:rPr>
        <w:fldChar w:fldCharType="end"/>
      </w:r>
      <w:r>
        <w:rPr>
          <w:rFonts w:ascii="Arial" w:hAnsi="Arial" w:cs="Arial"/>
          <w:sz w:val="24"/>
          <w:szCs w:val="24"/>
        </w:rPr>
        <w:t xml:space="preserve">. Este observatorio podría garantizar una documentación continua de estas prácticas que serían accesibles internacionalmente mediante el uso de las tecnologías de información y comunicación (TIC). Una estrategia prometedora para la creación y promoción de esta red de unidades de investigación y acción colaborativas es la implementación de las </w:t>
      </w:r>
      <w:r>
        <w:rPr>
          <w:rFonts w:ascii="Arial" w:hAnsi="Arial" w:cs="Arial"/>
          <w:i/>
          <w:iCs/>
          <w:sz w:val="24"/>
          <w:szCs w:val="24"/>
        </w:rPr>
        <w:t>comunidades epistémicas</w:t>
      </w: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 ADDIN ZOTERO_ITEM CSL_CITATION {"citationID":"M52arqQT","properties":{"formattedCitation":"(Haas, 2008; Miller &amp; Fox, 2001)","plainCitation":"(Haas, 2008; Miller &amp; Fox, 2001)","noteIndex":0},"citationItems":[{"id":22317,"uris":["http://zotero.org/users/2351503/items/Z3U3979L"],"itemData":{"id":22317,"type":"chapter","container-title":"The Oxford Handbook of International Environmental Law","ISBN":"978-0-19-955215-3","note":"DOI: 10.1093/oxfordhb/9780199552153.013.0034","page":"0","publisher":"Oxford University Press","source":"Silverchair","title":"Epistemic Communities","URL":"https://doi.org/10.1093/oxfordhb/9780199552153.013.0034","author":[{"family":"Haas","given":"Peter"}],"editor":[{"family":"Bodansky","given":"Daniel"},{"family":"Brunnée","given":"Jutta"},{"family":"Hey","given":"Ellen"}],"accessed":{"date-parts":[["2023",6,18]]},"issued":{"date-parts":[["2008",8,7]]}}},{"id":22366,"uris":["http://zotero.org/users/2351503/items/7V6PCYXQ"],"itemData":{"id":22366,"type":"article-journal","abstract":"Early epistemology assumed that the observer (a) was independent of and distinct from the object being observed and (b) could validate objective reality in a language system called the laws of science. The authors offer something different. In arguing that knowledge is responsive to the culture in which it is embedded, they take a perspectival approach, gathering localized intentionality, context, social practices, and linguistic meaning (called ground) into the project of inquiry (called figure). Knowledge building, in other words, depends on the background and interests of the epistemic community that is generating knowledge.","container-title":"Administration &amp; Society","DOI":"10.1177/00953990122019613","ISSN":"0095-3997","issue":"6","language":"en","note":"publisher: SAGE Publications Inc","page":"668-685","source":"SAGE Journals","title":"The Epistemic Community","volume":"32","author":[{"family":"Miller","given":"Hugh T."},{"family":"Fox","given":"Charles J."}],"issued":{"date-parts":[["2001",1,1]]}}}],"schema":"https://github.com/citation-style-language/schema/raw/master/csl-citation.json"} </w:instrText>
      </w:r>
      <w:r>
        <w:rPr>
          <w:rFonts w:ascii="Arial" w:hAnsi="Arial" w:cs="Arial"/>
          <w:sz w:val="24"/>
          <w:szCs w:val="24"/>
        </w:rPr>
        <w:fldChar w:fldCharType="separate"/>
      </w:r>
      <w:r>
        <w:rPr>
          <w:rFonts w:ascii="Arial" w:hAnsi="Arial" w:cs="Arial"/>
          <w:sz w:val="24"/>
          <w:szCs w:val="24"/>
        </w:rPr>
        <w:t>(Haas, 2008; Miller &amp; Fox, 2001)</w:t>
      </w:r>
      <w:r>
        <w:rPr>
          <w:rFonts w:ascii="Arial" w:hAnsi="Arial" w:cs="Arial"/>
          <w:sz w:val="24"/>
          <w:szCs w:val="24"/>
        </w:rPr>
        <w:fldChar w:fldCharType="end"/>
      </w:r>
      <w:r>
        <w:rPr>
          <w:rFonts w:ascii="Arial" w:hAnsi="Arial" w:cs="Arial"/>
          <w:sz w:val="24"/>
          <w:szCs w:val="24"/>
        </w:rPr>
        <w:t xml:space="preserve">. </w:t>
      </w:r>
    </w:p>
    <w:p w14:paraId="7ADEDE29" w14:textId="77777777" w:rsidR="0093626A" w:rsidRDefault="0093626A" w:rsidP="005915A7">
      <w:pPr>
        <w:shd w:val="clear" w:color="auto" w:fill="FFFFFF" w:themeFill="background1"/>
        <w:spacing w:after="0" w:line="360" w:lineRule="auto"/>
        <w:jc w:val="both"/>
        <w:rPr>
          <w:rFonts w:ascii="Arial" w:hAnsi="Arial" w:cs="Arial"/>
          <w:sz w:val="24"/>
          <w:szCs w:val="24"/>
        </w:rPr>
      </w:pPr>
    </w:p>
    <w:p w14:paraId="52FDC6D3" w14:textId="77777777" w:rsidR="0093626A" w:rsidRDefault="00000000" w:rsidP="00634580">
      <w:pPr>
        <w:shd w:val="clear" w:color="auto" w:fill="FFFFFF" w:themeFill="background1"/>
        <w:spacing w:after="0" w:line="360" w:lineRule="auto"/>
        <w:ind w:firstLine="708"/>
        <w:jc w:val="both"/>
        <w:rPr>
          <w:rFonts w:ascii="Arial" w:hAnsi="Arial" w:cs="Arial"/>
          <w:sz w:val="24"/>
          <w:szCs w:val="24"/>
        </w:rPr>
      </w:pPr>
      <w:r>
        <w:rPr>
          <w:rFonts w:ascii="Arial" w:hAnsi="Arial" w:cs="Arial"/>
          <w:sz w:val="24"/>
          <w:szCs w:val="24"/>
        </w:rPr>
        <w:t xml:space="preserve">Estos grupos organizados crean un espacio colaborativo de producción de conocimientos, favoreciendo así la interacción entre los actores locales, la creación de entornos aprendizaje colectivo y la construcción de relaciones sociales más simétricas. </w:t>
      </w:r>
      <w:r>
        <w:rPr>
          <w:rFonts w:ascii="Arial" w:hAnsi="Arial" w:cs="Arial"/>
          <w:sz w:val="24"/>
          <w:szCs w:val="24"/>
          <w:shd w:val="clear" w:color="auto" w:fill="FFFFFF" w:themeFill="background1"/>
        </w:rPr>
        <w:t xml:space="preserve">Gracias a la conectividad con otras unidades </w:t>
      </w:r>
      <w:r>
        <w:rPr>
          <w:rFonts w:ascii="Arial" w:hAnsi="Arial" w:cs="Arial"/>
          <w:sz w:val="24"/>
          <w:szCs w:val="24"/>
          <w:shd w:val="clear" w:color="auto" w:fill="FFFFFF" w:themeFill="background1"/>
        </w:rPr>
        <w:fldChar w:fldCharType="begin"/>
      </w:r>
      <w:r>
        <w:rPr>
          <w:rFonts w:ascii="Arial" w:hAnsi="Arial" w:cs="Arial"/>
          <w:sz w:val="24"/>
          <w:szCs w:val="24"/>
          <w:shd w:val="clear" w:color="auto" w:fill="FFFFFF" w:themeFill="background1"/>
        </w:rPr>
        <w:instrText xml:space="preserve"> ADDIN ZOTERO_ITEM CSL_CITATION {"citationID":"9HAcY56O","properties":{"formattedCitation":"(Dalglish et al., 2015; Zollman, 2013)","plainCitation":"(Dalglish et al., 2015; Zollman, 2013)","noteIndex":0},"citationItems":[{"id":22334,"uris":["http://zotero.org/users/2351503/items/XH8HK66Z"],"itemData":{"id":22334,"type":"article-journal","abstract":"Nearly all African countries have recently implemented some form of integrated community case management of childhood illness (iCCM), a strategy aimed at reducing child mortality by providing curative care for common yet fatal childhood illnesses. This case study describes the evolution of iCCM at the global level using the theory of epistemic communities first outlined by Haas, which explains how international policy coordination on technical issues takes place via transnational expert networks. We draw from in-depth interviews with global policy-makers (n = 25), a document review (n = 72) and co-authorship network analysis of scientific articles on iCCM. We find that members of the iCCM epistemic community were mainly mid- to upper-level technical officers working in the headquarters of large norm-setting bodies, implementing partners, funders and academic/research groups in global health. Already linked by pre-existing relationships, the epistemic community was consolidated as conflicts were overcome through structural changes in the network (including or excluding some members), changes in the state of technology or scientific evidence, shifting funding considerations, and the development of consensus through argument, legitimation and other means. Next, the epistemic community positioned iCCM as a preferred solution via three causal dynamics outlined by Haas: (1) responding to decision-makers’ uncertainty about how to reduce child mortality after previous policies proved insufficient, (2) using sophisticated analytic tools to link the problem of child mortality to iCCM as a solution and (3) gaining buy-in from major norm-setting bodies and financial and institutional support from large implementing agencies. Applying the epistemic communities framework to the iCCM case study reveals the strengths and weaknesses of a focused policy enterprise with highly specialized and homogenous disciplinary origins, allowing for efficient sharing of complex, high-level scientific information, but possibly excluding voices with relevant methodological, operational or country-level perspectives.","container-title":"Health Policy and Planning","DOI":"10.1093/heapol/czv043","ISSN":"0268-1080","issue":"suppl_2","journalAbbreviation":"Health Policy and Planning","page":"ii12-ii25","source":"Silverchair","title":"Epistemic communities in global health and the development of child survival policy: a case study of iCCM","title-short":"Epistemic communities in global health and the development of child survival policy","volume":"30","author":[{"family":"Dalglish","given":"Sarah L"},{"family":"George","given":"Asha"},{"family":"Shearer","given":"Jessica C"},{"family":"Bennett","given":"Sara"}],"issued":{"date-parts":[["2015",10,1]]}}},{"id":22318,"uris":["http://zotero.org/users/2351503/items/76YEFD8L"],"itemData":{"id":22318,"type":"article-journal","abstract":"Much of contemporary knowledge is generated by groups not single individuals. A natural question to ask is, what features make groups better or worse at generating knowledge? This paper surveys research that spans several disciplines which focuses on one aspect of epistemic communities: the way they communicate internally. This research has revealed that a wide number of different communication structures are best, but what is best in a given situation depends on particular details of the problem being confronted by the group.","container-title":"Philosophy Compass","DOI":"10.1111/j.1747-9991.2012.00534.x","ISSN":"1747-9991","issue":"1","language":"en","license":"© 2013 The Author. Philosophy Compass © 2013 Blackwell Publishing Ltd","note":"_eprint: https://onlinelibrary.wiley.com/doi/pdf/10.1111/j.1747-9991.2012.00534.x","page":"15-27","source":"Wiley Online Library","title":"Network Epistemology: Communication in Epistemic Communities","title-short":"Network Epistemology","volume":"8","author":[{"family":"Zollman","given":"Kevin J.S."}],"issued":{"date-parts":[["2013"]]}}}],"schema":"https://github.com/citation-style-language/schema/raw/master/csl-citation.json"} </w:instrText>
      </w:r>
      <w:r>
        <w:rPr>
          <w:rFonts w:ascii="Arial" w:hAnsi="Arial" w:cs="Arial"/>
          <w:sz w:val="24"/>
          <w:szCs w:val="24"/>
          <w:shd w:val="clear" w:color="auto" w:fill="FFFFFF" w:themeFill="background1"/>
        </w:rPr>
        <w:fldChar w:fldCharType="separate"/>
      </w:r>
      <w:r>
        <w:rPr>
          <w:rFonts w:ascii="Arial" w:hAnsi="Arial" w:cs="Arial"/>
          <w:sz w:val="24"/>
          <w:szCs w:val="24"/>
          <w:shd w:val="clear" w:color="auto" w:fill="FFFFFF" w:themeFill="background1"/>
        </w:rPr>
        <w:t>(Dalglish et al., 2015; Zollman, 2013)</w:t>
      </w:r>
      <w:r>
        <w:rPr>
          <w:rFonts w:ascii="Arial" w:hAnsi="Arial" w:cs="Arial"/>
          <w:sz w:val="24"/>
          <w:szCs w:val="24"/>
          <w:shd w:val="clear" w:color="auto" w:fill="FFFFFF" w:themeFill="background1"/>
        </w:rPr>
        <w:fldChar w:fldCharType="end"/>
      </w:r>
      <w:r>
        <w:rPr>
          <w:rFonts w:ascii="Arial" w:hAnsi="Arial" w:cs="Arial"/>
          <w:sz w:val="24"/>
          <w:szCs w:val="24"/>
          <w:shd w:val="clear" w:color="auto" w:fill="FFFFFF" w:themeFill="background1"/>
        </w:rPr>
        <w:t xml:space="preserve">, promueven el desarrollo de una práctica local de investigación profundamente vinculada a un discurso del campo de la Salud Global que se desarrolla hoy día en un contexto globalizado de alta complejidad y diversidad cultural </w:t>
      </w:r>
      <w:r>
        <w:rPr>
          <w:rFonts w:ascii="Arial" w:hAnsi="Arial" w:cs="Arial"/>
          <w:sz w:val="24"/>
          <w:szCs w:val="24"/>
          <w:shd w:val="clear" w:color="auto" w:fill="FFFFFF" w:themeFill="background1"/>
        </w:rPr>
        <w:fldChar w:fldCharType="begin"/>
      </w:r>
      <w:r>
        <w:rPr>
          <w:rFonts w:ascii="Arial" w:hAnsi="Arial" w:cs="Arial"/>
          <w:sz w:val="24"/>
          <w:szCs w:val="24"/>
          <w:shd w:val="clear" w:color="auto" w:fill="FFFFFF" w:themeFill="background1"/>
        </w:rPr>
        <w:instrText xml:space="preserve"> ADDIN ZOTERO_ITEM CSL_CITATION {"citationID":"TeXQ2gGb","properties":{"formattedCitation":"(Hanefeld &amp; Walt, 2015)","plainCitation":"(Hanefeld &amp; Walt, 2015)","noteIndex":0},"citationItems":[{"id":2744,"uris":["http://zotero.org/users/2351503/items/B2WFJFUK"],"itemData":{"id":2744,"type":"article-journal","abstract":"Shiffman rightly raises questions about who exercises power in global health, suggesting power is a complex concept, and the way it is exercised is often opaque. Power that is not based on financial strength but on knowledge or experience, is difficult to estimate, and yet it may provide the legitimacy to make moral claims on what is, or ought to be, on global health agendas. Twenty years ago power was exercised in a much less complex health environment. The World Health Organization (WHO) was able to exert its authority as world health leader. The landscape today is very different. Financial resources for global health are being competed for by diverse organisations, and power is diffused and somewhat hidden in such a climate, where each organization has to establish and make its own moral claims loudly and publicly. We observe two ways which allow actors to capture moral authority in global health. One, through power based on scientific knowledge and two, through procedures in the policy process, most commonly associated with the notion of broad consultation and participation. We discuss these drawing on one particular framework provided by Bourdieu, who analyses the source of actor power by focusing on different sorts of capital. Different approaches or theories to understanding power will go some way to answering the challenge Shiffman throws to health policy analysts. We need to explore much more fully where power lies in global health, and how it is exercised in order to understand underlying health agendas and claims to legitimacy made by global health actors today.","container-title":"International Journal of Health Policy and Management","DOI":"10.15171/ijhpm.2015.25","ISSN":"2322-5939","issue":"2","journalAbbreviation":"Int J Health Policy Manag","note":"PMID: 25674577\nPMCID: PMC4322625","page":"119-121","source":"PubMed Central","title":"Knowledge and networks – key sources of power in global health","volume":"4","author":[{"family":"Hanefeld","given":"Johanna"},{"family":"Walt","given":"Gill"}],"issued":{"date-parts":[["2015",2,5]]}}}],"schema":"https://github.com/citation-style-language/schema/raw/master/csl-citation.json"} </w:instrText>
      </w:r>
      <w:r>
        <w:rPr>
          <w:rFonts w:ascii="Arial" w:hAnsi="Arial" w:cs="Arial"/>
          <w:sz w:val="24"/>
          <w:szCs w:val="24"/>
          <w:shd w:val="clear" w:color="auto" w:fill="FFFFFF" w:themeFill="background1"/>
        </w:rPr>
        <w:fldChar w:fldCharType="separate"/>
      </w:r>
      <w:r>
        <w:rPr>
          <w:rFonts w:ascii="Arial" w:hAnsi="Arial" w:cs="Arial"/>
          <w:sz w:val="24"/>
          <w:szCs w:val="24"/>
          <w:shd w:val="clear" w:color="auto" w:fill="FFFFFF" w:themeFill="background1"/>
        </w:rPr>
        <w:t>(Hanefeld &amp; Walt, 2015)</w:t>
      </w:r>
      <w:r>
        <w:rPr>
          <w:rFonts w:ascii="Arial" w:hAnsi="Arial" w:cs="Arial"/>
          <w:sz w:val="24"/>
          <w:szCs w:val="24"/>
          <w:shd w:val="clear" w:color="auto" w:fill="FFFFFF" w:themeFill="background1"/>
        </w:rPr>
        <w:fldChar w:fldCharType="end"/>
      </w:r>
      <w:r>
        <w:rPr>
          <w:rFonts w:ascii="Arial" w:hAnsi="Arial" w:cs="Arial"/>
          <w:sz w:val="24"/>
          <w:szCs w:val="24"/>
          <w:shd w:val="clear" w:color="auto" w:fill="FFFFFF" w:themeFill="background1"/>
        </w:rPr>
        <w:t>.</w:t>
      </w:r>
    </w:p>
    <w:p w14:paraId="6CC17746" w14:textId="77777777" w:rsidR="0093626A" w:rsidRPr="00634580" w:rsidRDefault="00000000" w:rsidP="005915A7">
      <w:pPr>
        <w:pStyle w:val="Ttulo1"/>
        <w:spacing w:before="120" w:after="120" w:line="360" w:lineRule="auto"/>
        <w:jc w:val="both"/>
        <w:rPr>
          <w:rFonts w:ascii="Arial" w:hAnsi="Arial" w:cs="Arial"/>
          <w:b/>
          <w:bCs/>
          <w:color w:val="auto"/>
          <w:sz w:val="24"/>
          <w:szCs w:val="24"/>
        </w:rPr>
      </w:pPr>
      <w:r w:rsidRPr="00634580">
        <w:rPr>
          <w:rFonts w:ascii="Arial" w:hAnsi="Arial" w:cs="Arial"/>
          <w:b/>
          <w:bCs/>
          <w:color w:val="auto"/>
          <w:sz w:val="24"/>
          <w:szCs w:val="24"/>
        </w:rPr>
        <w:lastRenderedPageBreak/>
        <w:t>El campo de la Salud Global en un contexto de globalización del conocimiento</w:t>
      </w:r>
    </w:p>
    <w:p w14:paraId="5509A47A" w14:textId="77777777" w:rsidR="0093626A" w:rsidRDefault="00000000" w:rsidP="005915A7">
      <w:pPr>
        <w:spacing w:after="0" w:line="360" w:lineRule="auto"/>
        <w:jc w:val="both"/>
        <w:rPr>
          <w:rFonts w:ascii="Arial" w:hAnsi="Arial" w:cs="Arial"/>
          <w:sz w:val="24"/>
          <w:szCs w:val="24"/>
        </w:rPr>
      </w:pPr>
      <w:r>
        <w:rPr>
          <w:rFonts w:ascii="Arial" w:hAnsi="Arial" w:cs="Arial"/>
          <w:sz w:val="24"/>
          <w:szCs w:val="24"/>
        </w:rPr>
        <w:t xml:space="preserve">Históricamente, el discurso de la salud pública ha situado la higiene, el saneamiento y el control de las enfermedades transmisibles en el centro de las estrategias de los gobiernos para mejorar y promover la salud y el bienestar de las poblaciones </w:t>
      </w:r>
      <w:r>
        <w:rPr>
          <w:rFonts w:ascii="Arial" w:hAnsi="Arial" w:cs="Arial"/>
          <w:sz w:val="24"/>
          <w:szCs w:val="24"/>
        </w:rPr>
        <w:fldChar w:fldCharType="begin"/>
      </w:r>
      <w:r>
        <w:rPr>
          <w:rFonts w:ascii="Arial" w:hAnsi="Arial" w:cs="Arial"/>
          <w:sz w:val="24"/>
          <w:szCs w:val="24"/>
        </w:rPr>
        <w:instrText xml:space="preserve"> ADDIN ZOTERO_ITEM CSL_CITATION {"citationID":"sIcOVPA1","properties":{"formattedCitation":"(Petersen &amp; Lupton, 1996)","plainCitation":"(Petersen &amp; Lupton, 1996)","noteIndex":0},"citationItems":[{"id":7390,"uris":["http://zotero.org/users/2351503/items/KW5RC9DV"],"itemData":{"id":7390,"type":"book","abstract":"This book focuses upon the way that the new public health, almost in spite of its own rhetoric and objectives, continues to rely upon a traditionally modernist, science-based approach to dealing with health issues. It is argued that this approach perpetuates standard binary oppositions that serve to cast moral judgements of blame upon certain social groups, just as did 19th century public health. These moral distinctions have important material effects, including discrimination and the limiting of access to resources such as health care. It concludes by reflecting upon the ways in which individuals working in or researching the domain of the new public health may seek to find alternative approaches that may avoid some of the limiting, stigmatizing, and judgmental tendencies here identified. (PsycINFO Database Record (c) 2016 APA, all rights reserved)","collection-title":"The new public health:  Health and self in the age of risk","event-place":"Thousand Oaks, CA, US","ISBN":"978-0-7619-5403-3","number-of-pages":"xvi, 208","publisher":"Sage Publications, Inc","publisher-place":"Thousand Oaks, CA, US","source":"APA PsycNET","title":"The new public health:  Health and self in the age of risk","title-short":"The new public health","author":[{"family":"Petersen","given":"Alan"},{"family":"Lupton","given":"Deborah"}],"issued":{"date-parts":[["1996"]]}}}],"schema":"https://github.com/citation-style-language/schema/raw/master/csl-citation.json"} </w:instrText>
      </w:r>
      <w:r>
        <w:rPr>
          <w:rFonts w:ascii="Arial" w:hAnsi="Arial" w:cs="Arial"/>
          <w:sz w:val="24"/>
          <w:szCs w:val="24"/>
        </w:rPr>
        <w:fldChar w:fldCharType="separate"/>
      </w:r>
      <w:r>
        <w:rPr>
          <w:rFonts w:ascii="Arial" w:hAnsi="Arial" w:cs="Arial"/>
          <w:sz w:val="24"/>
          <w:szCs w:val="24"/>
        </w:rPr>
        <w:t>(Petersen &amp; Lupton, 1996)</w:t>
      </w:r>
      <w:r>
        <w:rPr>
          <w:rFonts w:ascii="Arial" w:hAnsi="Arial" w:cs="Arial"/>
          <w:sz w:val="24"/>
          <w:szCs w:val="24"/>
        </w:rPr>
        <w:fldChar w:fldCharType="end"/>
      </w:r>
      <w:r>
        <w:rPr>
          <w:rFonts w:ascii="Arial" w:hAnsi="Arial" w:cs="Arial"/>
          <w:sz w:val="24"/>
          <w:szCs w:val="24"/>
        </w:rPr>
        <w:t xml:space="preserve">. Este discurso se ha ido ampliando gradualmente para unirse a nuevas preocupaciones socioculturales, medioambientales, económicas y políticas que afectan la salud de las poblaciones a escala planetaria </w:t>
      </w:r>
      <w:r>
        <w:rPr>
          <w:rFonts w:ascii="Arial" w:hAnsi="Arial" w:cs="Arial"/>
          <w:sz w:val="24"/>
          <w:szCs w:val="24"/>
        </w:rPr>
        <w:fldChar w:fldCharType="begin"/>
      </w:r>
      <w:r>
        <w:rPr>
          <w:rFonts w:ascii="Arial" w:hAnsi="Arial" w:cs="Arial"/>
          <w:sz w:val="24"/>
          <w:szCs w:val="24"/>
        </w:rPr>
        <w:instrText xml:space="preserve"> ADDIN ZOTERO_ITEM CSL_CITATION {"citationID":"YBkRgCMY","properties":{"formattedCitation":"(Beaglehole &amp; Bonita, 2008; Maddock, 2012)","plainCitation":"(Beaglehole &amp; Bonita, 2008; Maddock, 2012)","noteIndex":0},"citationItems":[{"id":502,"uris":["http://zotero.org/users/2351503/items/RUETJK7K"],"itemData":{"id":502,"type":"article-journal","abstract":"Global health is attracting an unprecedented level of interest. In this paper, we summarise recent trends and identify the unfinished and new agendas in global public health. We propose a global public health scorecard as a simple way to assess progress and suggest actions by public health practitioners and their organisations for improving the effectiveness of public health. Although we find many recent positive developments in global health, the potential for global cooperation and progress is still largely untapped. Compared with other components of development, health improvement should easily foster global cooperation; strong advocacy and political will are keys to continuing progress. We view global public health as a barometer of more general development. Our responses to the current health challenges are at the forefront of the global struggle for survival.","container-title":"The Lancet","DOI":"10.1016/S0140-6736(08)61558-5","ISSN":"0140-6736, 1474-547X","issue":"9654","journalAbbreviation":"The Lancet","language":"English","note":"PMID: 18945485","page":"1988-1996","source":"www.thelancet.com","title":"Global public health: a scorecard","title-short":"Global public health","volume":"372","author":[{"family":"Beaglehole","given":"Robert"},{"family":"Bonita","given":"Ruth"}],"issued":{"date-parts":[["2008",12,6]]}}},{"id":1052,"uris":["http://zotero.org/users/2351503/items/FYHKHJAP"],"itemData":{"id":1052,"type":"book","abstract":"Human behavior accounts for the majority of morbidity and premature mortality throughout the world. This book explores several areas of human behavior including physical activity, nutrition and food, addictive substances, gun violence, sexual transmitted diseases and more. Several cutting edge methods are also examined including empowering nurses, community based participatory research and nature therapy. Less well known public health topics including human trafficking, tuberculosis control in prisons and public health issues in the deaf community are also covered. The authors come from around the world to describe issues that are both of local and worldwide importance to protect and preserve the health of populations. This book demonstrates the scope and some of the solutions to addressing today's most pressing public health issues.","ISBN":"978-953-51-0620-3","language":"en","note":"Google-Books-ID: ocqgDwAAQBAJ","number-of-pages":"586","publisher":"BoD – Books on Demand","source":"Google Books","title":"Public Health: Social and Behavioral Health","title-short":"Public Health","author":[{"family":"Maddock","given":"Jay"}],"issued":{"date-parts":[["2012",5,16]]}}}],"schema":"https://github.com/citation-style-language/schema/raw/master/csl-citation.json"} </w:instrText>
      </w:r>
      <w:r>
        <w:rPr>
          <w:rFonts w:ascii="Arial" w:hAnsi="Arial" w:cs="Arial"/>
          <w:sz w:val="24"/>
          <w:szCs w:val="24"/>
        </w:rPr>
        <w:fldChar w:fldCharType="separate"/>
      </w:r>
      <w:r>
        <w:rPr>
          <w:rFonts w:ascii="Arial" w:hAnsi="Arial" w:cs="Arial"/>
          <w:sz w:val="24"/>
          <w:szCs w:val="24"/>
        </w:rPr>
        <w:t>(Beaglehole &amp; Bonita, 2008; Maddock, 2012)</w:t>
      </w:r>
      <w:r>
        <w:rPr>
          <w:rFonts w:ascii="Arial" w:hAnsi="Arial" w:cs="Arial"/>
          <w:sz w:val="24"/>
          <w:szCs w:val="24"/>
        </w:rPr>
        <w:fldChar w:fldCharType="end"/>
      </w:r>
      <w:r>
        <w:rPr>
          <w:rFonts w:ascii="Arial" w:hAnsi="Arial" w:cs="Arial"/>
          <w:sz w:val="24"/>
          <w:szCs w:val="24"/>
        </w:rPr>
        <w:t xml:space="preserve">. </w:t>
      </w:r>
    </w:p>
    <w:p w14:paraId="6DF7B376" w14:textId="77777777" w:rsidR="0093626A" w:rsidRDefault="0093626A" w:rsidP="00634580">
      <w:pPr>
        <w:spacing w:after="0" w:line="360" w:lineRule="auto"/>
        <w:ind w:firstLine="708"/>
        <w:jc w:val="both"/>
        <w:rPr>
          <w:rFonts w:ascii="Arial" w:hAnsi="Arial" w:cs="Arial"/>
          <w:sz w:val="24"/>
          <w:szCs w:val="24"/>
        </w:rPr>
      </w:pPr>
    </w:p>
    <w:p w14:paraId="52AC9939" w14:textId="77777777" w:rsidR="0093626A" w:rsidRDefault="00000000" w:rsidP="00634580">
      <w:pPr>
        <w:spacing w:after="0" w:line="360" w:lineRule="auto"/>
        <w:ind w:firstLine="708"/>
        <w:jc w:val="both"/>
        <w:rPr>
          <w:rFonts w:ascii="Arial" w:hAnsi="Arial" w:cs="Arial"/>
          <w:sz w:val="24"/>
          <w:szCs w:val="24"/>
        </w:rPr>
      </w:pPr>
      <w:r>
        <w:rPr>
          <w:rFonts w:ascii="Arial" w:hAnsi="Arial" w:cs="Arial"/>
          <w:sz w:val="24"/>
          <w:szCs w:val="24"/>
        </w:rPr>
        <w:t xml:space="preserve">El aumento de las desigualdades entre los países y en cada uno de ellos, así como la precariedad socioeconómica dominante en la mayoría de los países de baja y media renta, afectan negativamente al acceso a los servicios sanitarios </w:t>
      </w:r>
      <w:r>
        <w:rPr>
          <w:rFonts w:ascii="Arial" w:hAnsi="Arial" w:cs="Arial"/>
          <w:sz w:val="24"/>
          <w:szCs w:val="24"/>
        </w:rPr>
        <w:fldChar w:fldCharType="begin"/>
      </w:r>
      <w:r>
        <w:rPr>
          <w:rFonts w:ascii="Arial" w:hAnsi="Arial" w:cs="Arial"/>
          <w:sz w:val="24"/>
          <w:szCs w:val="24"/>
        </w:rPr>
        <w:instrText xml:space="preserve"> ADDIN ZOTERO_ITEM CSL_CITATION {"citationID":"qeFFExAt","properties":{"formattedCitation":"(Collins, 2003; Rao &amp; Pilot, 2014; Teutsch &amp; Fielding, 2013)","plainCitation":"(Collins, 2003; Rao &amp; Pilot, 2014; Teutsch &amp; Fielding, 2013)","noteIndex":0},"citationItems":[{"id":1900,"uris":["http://zotero.org/users/2351503/items/SR54HUXI"],"itemData":{"id":1900,"type":"article-journal","abstract":"It is now commonly realized that the globalization of the world economy is shaping the patterns of global health, and that associated morbidity and mortality is affecting countries' ability to achieve economic growth. The globalization of public health has important implications for access to essential healthcare. The rise of inequalities among and within countries negatively affects access to healthcare. Poor people use healthcare services less frequently when sick than do the rich. The negative impact of globalization on access to healthcare is particularly well demonstrated in countries of transitional economies. No longer protected by a centralized health sector that provided free universal access to services for everyone, large segments of the populations in the transition period found themselves denied even the most basic medical services. Only countries where regulatory institutions are strong, domestic markets are competitive and social safety nets are in place, have a good chance to enjoy the health benefits of globalization.","container-title":"The International Journal of Health Planning and Management","DOI":"10.1002/hpm.698","ISSN":"0749-6753","issue":"2","journalAbbreviation":"Int J Health Plann Manage","language":"eng","note":"PMID: 12841150","page":"97-104","source":"PubMed","title":"Globalization, global health, and access to healthcare","volume":"18","author":[{"family":"Collins","given":"Téa"}],"issued":{"date-parts":[["2003",6]]}}},{"id":7946,"uris":["http://zotero.org/users/2351503/items/59KG36ZL"],"itemData":{"id":7946,"type":"article-journal","abstract":"This chapter provides an overview of the role of primary care in the context of global health. Universal health coverage is a key priority for WHO and its member states, and provision of accessible and safe primary care is recognised as essential to meet this important international policy goal. Nevertheless, more than three decades after Alma Ata, the provision of primary health care remains inadequate, indicating that primary care has not received the priority it deserves, in many parts of the world. This is despite the proven health benefits that result from access to comprehensive primary health care. We highlight some examples of good practice and discuss the relevance of primary care in the context of health equity and cost-effectiveness. Challenges that influence the success of primary care include the availability of a qualified workforce, financing and system design and quality assurance and patient safety.","container-title":"Global Health Action","DOI":"10.3402/gha.v7.23693","ISSN":"1654-9716","issue":"s2","page":"23693","source":"Taylor and Francis+NEJM","title":"The missing link – the role of primary care in global health","volume":"7","author":[{"family":"Rao","given":"Mala"},{"family":"Pilot","given":"Eva"}],"issued":{"date-parts":[["2014",2,13]]}}},{"id":2537,"uris":["http://zotero.org/users/2351503/items/E42R8BRC"],"itemData":{"id":2537,"type":"webpage","abstract":"The success of public health has been its ability to understand contemporary health problems, to communicate the needs successfully, to identify solutions, and to implement them through programs and policies. In the past 50 years, those successes can be attributed largely to control of infectious disease, improved maternal and child health, delivery of other personal health care services, and changes in behaviors, particularly smoking. Yet health is primarily a product of our social, cultural, and physical environments. To continue to improve the nation's health and reduce disparities, public health needs to return to its historical roots and engage with other sectors to create healthier communities. To do so requires expanding public health skills in areas such as quantitative policy analysis, communication, and community engagement.","container-title":"http://dx.doi.org/10.1146/annurev-publhealth-031912-114433","genre":"review-article","language":"en","license":"Copyright © 2013 by Annual Reviews. All rights reserved","note":"DOI: 10.1146/annurev-publhealth-031912-114433","title":"Rediscovering the Core of Public Health","URL":"http://www.annualreviews.org/doi/10.1146/annurev-publhealth-031912-114433","author":[{"family":"Teutsch","given":"Steven M."},{"family":"Fielding","given":"Jonathan E."}],"accessed":{"date-parts":[["2017",7,19]]},"issued":{"date-parts":[["2013",3,20]]}}}],"schema":"https://github.com/citation-style-language/schema/raw/master/csl-citation.json"} </w:instrText>
      </w:r>
      <w:r>
        <w:rPr>
          <w:rFonts w:ascii="Arial" w:hAnsi="Arial" w:cs="Arial"/>
          <w:sz w:val="24"/>
          <w:szCs w:val="24"/>
        </w:rPr>
        <w:fldChar w:fldCharType="separate"/>
      </w:r>
      <w:r>
        <w:rPr>
          <w:rFonts w:ascii="Arial" w:hAnsi="Arial" w:cs="Arial"/>
          <w:sz w:val="24"/>
          <w:szCs w:val="24"/>
        </w:rPr>
        <w:t>(Collins, 2003; Rao &amp; Pilot, 2014; Teutsch &amp; Fielding, 2013)</w:t>
      </w:r>
      <w:r>
        <w:rPr>
          <w:rFonts w:ascii="Arial" w:hAnsi="Arial" w:cs="Arial"/>
          <w:sz w:val="24"/>
          <w:szCs w:val="24"/>
        </w:rPr>
        <w:fldChar w:fldCharType="end"/>
      </w:r>
      <w:r>
        <w:rPr>
          <w:rFonts w:ascii="Arial" w:hAnsi="Arial" w:cs="Arial"/>
          <w:sz w:val="24"/>
          <w:szCs w:val="24"/>
        </w:rPr>
        <w:t xml:space="preserve">. De este modo, aparece el campo de la Salud Global, que centra su interés en la promoción de la salud, el acceso equitativo a los servicios sanitarios y el combate contra las desigualdades sociales a escala internacional </w:t>
      </w:r>
      <w:r>
        <w:rPr>
          <w:rFonts w:ascii="Arial" w:hAnsi="Arial" w:cs="Arial"/>
          <w:sz w:val="24"/>
          <w:szCs w:val="24"/>
        </w:rPr>
        <w:fldChar w:fldCharType="begin"/>
      </w:r>
      <w:r>
        <w:rPr>
          <w:rFonts w:ascii="Arial" w:hAnsi="Arial" w:cs="Arial"/>
          <w:sz w:val="24"/>
          <w:szCs w:val="24"/>
        </w:rPr>
        <w:instrText xml:space="preserve"> ADDIN ZOTERO_ITEM CSL_CITATION {"citationID":"SCtYhRyv","properties":{"formattedCitation":"(Beaglehole &amp; Bonita, 2008; Kickbusch, 1999, 2000; Suarez-Herrera &amp; Blain, 2012)","plainCitation":"(Beaglehole &amp; Bonita, 2008; Kickbusch, 1999, 2000; Suarez-Herrera &amp; Blain, 2012)","noteIndex":0},"citationItems":[{"id":502,"uris":["http://zotero.org/users/2351503/items/RUETJK7K"],"itemData":{"id":502,"type":"article-journal","abstract":"Global health is attracting an unprecedented level of interest. In this paper, we summarise recent trends and identify the unfinished and new agendas in global public health. We propose a global public health scorecard as a simple way to assess progress and suggest actions by public health practitioners and their organisations for improving the effectiveness of public health. Although we find many recent positive developments in global health, the potential for global cooperation and progress is still largely untapped. Compared with other components of development, health improvement should easily foster global cooperation; strong advocacy and political will are keys to continuing progress. We view global public health as a barometer of more general development. Our responses to the current health challenges are at the forefront of the global struggle for survival.","container-title":"The Lancet","DOI":"10.1016/S0140-6736(08)61558-5","ISSN":"0140-6736, 1474-547X","issue":"9654","journalAbbreviation":"The Lancet","language":"English","note":"PMID: 18945485","page":"1988-1996","source":"www.thelancet.com","title":"Global public health: a scorecard","title-short":"Global public health","volume":"372","author":[{"family":"Beaglehole","given":"Robert"},{"family":"Bonita","given":"Ruth"}],"issued":{"date-parts":[["2008",12,6]]}}},{"id":508,"uris":["http://zotero.org/users/2351503/items/VUH4BV9T"],"itemData":{"id":508,"type":"article-journal","abstract":"The WHO Healthy Cities will be 15 years old in the year\n2000. It has proved an exceptionally sustainable WHO initiative\nand is still experiencing growth around the globe.\nThis is all the more noteworthy because the world has\nchanged significantly since the time when the Healthy Cities\nproject was first launched in Europe in 1986.1 The initial\nproject was driven by two key ideas: the rediscovery of\nthe importance and potential of local public health and the\nlinking of cities from around Europe into a network with a\ncommon purpose. At present the interest and discourse has\nshifted from the “local” to the “global”. Does this mean\nthat the global now dominates the local? Or can the local\nrespond adequately to global pressures? What can Healthy\nCities contribute to this debate?","container-title":"Journal of Epidemiology and Community Health","ISSN":"0143-005X","issue":"8","journalAbbreviation":"J Epidemiol Community Health","note":"PMID: 10562861\nPMCID: PMC1756938","page":"451-452","source":"PubMed Central","title":"Global + local = glocal public health","volume":"53","author":[{"family":"Kickbusch","given":"Ilona"}],"issued":{"date-parts":[["1999",8]]}}},{"id":4394,"uris":["http://zotero.org/users/2351503/items/ARLRRM4E"],"itemData":{"id":4394,"type":"article-journal","abstract":"International health governance as it exists today is facing major structural challenges in view of globalization, the increased transfer of international health risks and the mounting challenge of health inequalities worldwide. As a consequence the capacity of nation states to ensure population health and to address major health determinants has been weakened. This paper explores health as an exemplary field to illustrate that we have entered a new era of public policy which is defined by increasing overlaps between domestic and foreign policy, multilateral and bilateral strategies and national and international interest. Cross border spill overs and externalities of national actions need to move into the core of public policy at the national and global level within a new rules based system. A new perspective on global health governance is further necessitated through the increased number of players in the global health arena. The organizational form that is emerging is based on networks and is characterized by shifting alliances and blurred lines of responsibility. The paper explores the emerging paradox of state sovereignty and makes a set of proposals to pool state sovereignty on health and structure the myriad of networks. Particular attention is given to the role of the World Health Organization within this process of change and adjustment. In using a framework from international relations analysis the paper explores how nation states are socialized into accepting new norms, values and perceptions of interest with regard to national and international health and what challenges emerge for the WHO in “inventing” global health policy.","container-title":"Social Science &amp; Medicine","DOI":"10.1016/S0277-9536(00)00076-9","ISSN":"0277-9536","issue":"6","journalAbbreviation":"Social Science &amp; Medicine","page":"979-989","source":"ScienceDirect","title":"The development of international health policies — accountability intact?","volume":"51","author":[{"family":"Kickbusch","given":"Ilona"}],"issued":{"date-parts":[["2000",9,15]]}}},{"id":6699,"uris":["http://zotero.org/users/2351503/items/PPALZKIA"],"itemData":{"id":6699,"type":"book","collection-number":"114","event-place":"Montréal (Québec, Canada)","number-of-pages":"276","publisher":"Cahiers scientifiques de l'ACFAS","publisher-place":"Montréal (Québec, Canada)","title":"La recherche en santé mondiale : perspectives socio-anthropologiques","author":[{"family":"Suarez-Herrera","given":"José Carlos"},{"family":"Blain","given":"Marie-Jeanne"}],"issued":{"date-parts":[["2012"]]}}}],"schema":"https://github.com/citation-style-language/schema/raw/master/csl-citation.json"} </w:instrText>
      </w:r>
      <w:r>
        <w:rPr>
          <w:rFonts w:ascii="Arial" w:hAnsi="Arial" w:cs="Arial"/>
          <w:sz w:val="24"/>
          <w:szCs w:val="24"/>
        </w:rPr>
        <w:fldChar w:fldCharType="separate"/>
      </w:r>
      <w:r>
        <w:rPr>
          <w:rFonts w:ascii="Arial" w:hAnsi="Arial" w:cs="Arial"/>
          <w:sz w:val="24"/>
          <w:szCs w:val="24"/>
        </w:rPr>
        <w:t>(Beaglehole &amp; Bonita, 2008; Kickbusch, 1999, 2000; Suarez-Herrera &amp; Blain, 2012)</w:t>
      </w:r>
      <w:r>
        <w:rPr>
          <w:rFonts w:ascii="Arial" w:hAnsi="Arial" w:cs="Arial"/>
          <w:sz w:val="24"/>
          <w:szCs w:val="24"/>
        </w:rPr>
        <w:fldChar w:fldCharType="end"/>
      </w:r>
      <w:r>
        <w:rPr>
          <w:rFonts w:ascii="Arial" w:hAnsi="Arial" w:cs="Arial"/>
          <w:sz w:val="24"/>
          <w:szCs w:val="24"/>
        </w:rPr>
        <w:t xml:space="preserve">. </w:t>
      </w:r>
    </w:p>
    <w:p w14:paraId="427EF427" w14:textId="77777777" w:rsidR="0093626A" w:rsidRDefault="0093626A" w:rsidP="005915A7">
      <w:pPr>
        <w:spacing w:after="0" w:line="360" w:lineRule="auto"/>
        <w:jc w:val="both"/>
        <w:rPr>
          <w:rFonts w:ascii="Arial" w:hAnsi="Arial" w:cs="Arial"/>
          <w:sz w:val="24"/>
          <w:szCs w:val="24"/>
        </w:rPr>
      </w:pPr>
    </w:p>
    <w:p w14:paraId="1B694AD8" w14:textId="77777777" w:rsidR="0093626A" w:rsidRDefault="00000000" w:rsidP="00634580">
      <w:pPr>
        <w:spacing w:after="0" w:line="360" w:lineRule="auto"/>
        <w:ind w:firstLine="708"/>
        <w:jc w:val="both"/>
        <w:rPr>
          <w:rFonts w:ascii="Arial" w:hAnsi="Arial" w:cs="Arial"/>
          <w:sz w:val="24"/>
          <w:szCs w:val="24"/>
        </w:rPr>
      </w:pPr>
      <w:r>
        <w:rPr>
          <w:rFonts w:ascii="Arial" w:hAnsi="Arial" w:cs="Arial"/>
          <w:sz w:val="24"/>
          <w:szCs w:val="24"/>
        </w:rPr>
        <w:t xml:space="preserve">Aquí, la participación ciudadana, el empoderamiento y la acción intersectorial juegan un papel clave en la creación de capital social en el seno de las comunidades locales, concebidas tradicionalmente por las autoridades sanitarias como beneficiarios pasivos de los recursos sociosanitarios </w:t>
      </w:r>
      <w:r>
        <w:rPr>
          <w:rFonts w:ascii="Arial" w:hAnsi="Arial" w:cs="Arial"/>
          <w:sz w:val="24"/>
          <w:szCs w:val="24"/>
        </w:rPr>
        <w:fldChar w:fldCharType="begin"/>
      </w:r>
      <w:r>
        <w:rPr>
          <w:rFonts w:ascii="Arial" w:hAnsi="Arial" w:cs="Arial"/>
          <w:sz w:val="24"/>
          <w:szCs w:val="24"/>
        </w:rPr>
        <w:instrText xml:space="preserve"> ADDIN ZOTERO_ITEM CSL_CITATION {"citationID":"POyPA7an","properties":{"formattedCitation":"(Engebretsen &amp; Heggen, 2015; Kickbusch, 2006; Suarez-Herrera et al., 2021)","plainCitation":"(Engebretsen &amp; Heggen, 2015; Kickbusch, 2006; Suarez-Herrera et al., 2021)","noteIndex":0},"citationItems":[{"id":2745,"uris":["http://zotero.org/users/2351503/items/7HSKA6RQ"],"itemData":{"id":2745,"type":"article-journal","abstract":"In this paper we emphasize the importance of questioning the global validity of significant concepts underpinning global health policy. This implies questioning the concept of global health as such and accepting that there is no global definition of the global. Further, we draw attention to ‘quality’ and ‘empowerment’ as examples of world-forming concepts. These concepts are exemplary for the gentle and quiet forms of power that underpin our reasoning within global health.","container-title":"International Journal of Health Policy and Management","DOI":"10.15171/ijhpm.2015.19","ISSN":"2322-5939","issue":"2","journalAbbreviation":"Int J Health Policy Manag","note":"PMID: 25674576\nPMCID: PMC4322624","page":"115-117","source":"PubMed Central","title":"Powerful concepts in global health","volume":"4","author":[{"family":"Engebretsen","given":"Eivind"},{"family":"Heggen","given":"Kristin"}],"issued":{"date-parts":[["2015",1,31]]}}},{"id":3379,"uris":["http://zotero.org/users/2351503/items/GU487FGG"],"itemData":{"id":3379,"type":"article-journal","abstract":"We are challenged to develop a public health approach that responds to the globalized world. The present global health crisis is not primarily one of disease, but of governance: its key characteristic is a weakening of public policy and interstate mechanisms as a consequence of global restructuring. The response needs to focus on the political determinants of health, in particular on mechanisms that help ensure the global public goods that are required for a more equitable and secure development. A first step in this direction would be to take up the proposal from the recent 6th Global Conference on Health Promotion to explore the possibility of a new type of global health treaty which would help to establish the new parameters of global health governance. National public health associations should take the lead to establish health as a global public good and organize \"National Global Health Summits'' to discuss the possible mechanisms for the necessary political process. This means putting global health governance issues onto the agenda of other sectors such as foreign policy, as health is critical not only for poverty reduction but for human security as a whole. Nous avons un défi à relever : celui de concevoir une démarche de santé publique adaptée à la mondialisation. La crise actuelle de la santé à l'échelle mondiale n'est pas principalement liée aux maladies, mais aux lacunes de la gouvernance; ses grandes caractéristiques sont l'affaiblissement des politiques gouvernementales et des mécanismes inter-étatiques en raison de la restructuration planétaire. Nos interventions doivent donc porter sur les déterminants politiques de la santé, tout particulièrement sur les mécanismes qui aideront à préserver les biens publics mondiaux nécessaires à un développement sûr et équitable. Récemment, les délégués à la 6e Conférence mondiale sur la promotion de la santé ont proposé un traité « nouveau genre » qui établirait les nouveaux paramètres de la gouvernance mondiale de la santé. Reprendre cette proposition serait un pas dans la bonne direction. Les associations nationales pour la santé publique doivent prêcher l'exemple en présentant la santé comme un bien public mondial et en organisant des « sommets nationaux sur la santé mondiale » pour discuter des mécanismes éventuels du processus politique nécessaire. Il faut pour cela inscrire les questions de gouvernance mondiale de la santé aux programmes d'autres secteurs, comme la politique étrangère, car la santé est indispensable non seulement à la réduction de la pauvreté, mais pour tout ce qui concerne la sécurité humaine.","container-title":"Canadian Journal of Public Health / Revue Canadienne de Santé Publique","ISSN":"0008-4263","issue":"1","page":"6-8","source":"JSTOR","title":"Mapping the Future of Public Health: Action on Global Health","title-short":"Mapping the Future of Public Health","volume":"97","author":[{"family":"Kickbusch","given":"Ilona"}],"issued":{"date-parts":[["2006"]]}}},{"id":245,"uris":["http://zotero.org/users/2351503/items/2FXSLGMS"],"itemData":{"id":245,"type":"chapter","abstract":"In the face of the complexity of today's global health challenges, the international public health policies proposed by the World Health Organisation (WHO)\ngradually integrate certain strategies that were not considered in Alma Ata, such as the measurement of the health impacts of the global recession and globalisation, the need for people-centred approaches to sustainable development, a strong commitment to ethical principles of health equity, and a broad use of strategic partnerships for health at global, national and local levels (Buss, 2020; Kickbusch, 2016).","container-title":"Epidemiología del desarrollo sostenible","event-place":"Córdoba (Argentina)","page":"179-214","publisher":"Creative Commons de Acceso Abierto","publisher-place":"Córdoba (Argentina)","title":"Alianzas estratégicas en Salud Global: perspectivas innovadoras para una Epidemiología del Desarrollo Sostenible","author":[{"family":"Suarez-Herrera","given":"J.C."},{"family":"Marques da Cruz","given":"M."},{"family":"Hartz","given":"Z."}],"issued":{"date-parts":[["2021"]]}}}],"schema":"https://github.com/citation-style-language/schema/raw/master/csl-citation.json"} </w:instrText>
      </w:r>
      <w:r>
        <w:rPr>
          <w:rFonts w:ascii="Arial" w:hAnsi="Arial" w:cs="Arial"/>
          <w:sz w:val="24"/>
          <w:szCs w:val="24"/>
        </w:rPr>
        <w:fldChar w:fldCharType="separate"/>
      </w:r>
      <w:r>
        <w:rPr>
          <w:rFonts w:ascii="Arial" w:hAnsi="Arial" w:cs="Arial"/>
          <w:sz w:val="24"/>
          <w:szCs w:val="24"/>
        </w:rPr>
        <w:t>(Engebretsen &amp; Heggen, 2015; Kickbusch, 2006; Suarez-Herrera et al., 2021)</w:t>
      </w:r>
      <w:r>
        <w:rPr>
          <w:rFonts w:ascii="Arial" w:hAnsi="Arial" w:cs="Arial"/>
          <w:sz w:val="24"/>
          <w:szCs w:val="24"/>
        </w:rPr>
        <w:fldChar w:fldCharType="end"/>
      </w:r>
      <w:r>
        <w:rPr>
          <w:rFonts w:ascii="Arial" w:hAnsi="Arial" w:cs="Arial"/>
          <w:sz w:val="24"/>
          <w:szCs w:val="24"/>
        </w:rPr>
        <w:t xml:space="preserve">. La implicación de ciertos sectores organizados de la población en los procesos de planificación e implementación de estrategias de salud pública aparece con mayor énfasis en periodos de crisis, tal y como se pudo constatar durante la fase aguda de la pandemia por COVID-19 </w:t>
      </w:r>
      <w:r>
        <w:rPr>
          <w:rFonts w:ascii="Arial" w:hAnsi="Arial" w:cs="Arial"/>
          <w:sz w:val="24"/>
          <w:szCs w:val="24"/>
        </w:rPr>
        <w:fldChar w:fldCharType="begin"/>
      </w:r>
      <w:r>
        <w:rPr>
          <w:rFonts w:ascii="Arial" w:hAnsi="Arial" w:cs="Arial"/>
          <w:sz w:val="24"/>
          <w:szCs w:val="24"/>
        </w:rPr>
        <w:instrText xml:space="preserve"> ADDIN ZOTERO_ITEM CSL_CITATION {"citationID":"I2hySVeO","properties":{"formattedCitation":"(Bispo J\\uc0\\u250{}nior &amp; Morais, 2020; Quinn &amp; Laws, 2020; Zhang et al., 2020)","plainCitation":"(Bispo Júnior &amp; Morais, 2020; Quinn &amp; Laws, 2020; Zhang et al., 2020)","noteIndex":0},"citationItems":[{"id":7403,"uris":["http://zotero.org/users/2351503/items/RQIIUEG4"],"itemData":{"id":7403,"type":"article-journal","abstract":"O presente ensaio objetivou discutir os fundamentos e possibilidades da participação comunitária para o enfrentamento da COVID-19. Na primeira parte, são discutidos os sentidos de comunidade definidos por critérios geográficos, de agregação de interesses ou epidemiológicos. No contexto da pandemia, reflete-se que nenhuma das três perspectivas podem ser consideradas isoladamente. Foi discutida a necessidade de articulação das diferentes abordagens a fim de se prover intervenções sanitárias socialmente contextualizadas. Em seguida, são apresentados os quatro principais modelos teóricos presentes na literatura internacional que fundamentam as práticas de participação comunitária em diversos países. Para a análise da participação comunitária no contexto da COVID-19 foi utilizada a sistematização conceitual fundamentada em duas metanarrativas: a utilitarista e a da justiça social. A perspectiva utilitarista envolve ações direcionadas às medidas de restrição do contato social. Nesse sentido, a participação é entendida como colaboração na execução de ações que contribuam para o controle do agravo. A perspectiva da justiça social aborda sobretudo os determinantes sociais da saúde e a redução das desigualdades sociais. Trata-se de abordagem voltada ao empoderamento comunitário e à busca de soluções para os problemas sociais e econômicos determinantes da disseminação da COVID-19 e de outras doenças. Conclui-se sobre as peculiaridades e a importância de cada uma das abordagens. A participação comunitária no enfrentamento da COVID-19 deve considerar os contextos emergencial, de fortalecimento do sistema de saúde e de defesa do sistema de proteção social e da democracia.","container-title":"Cadernos de Saúde Pública","DOI":"10.1590/0102-311x00151620","ISSN":"0102-311X, 0102-311X, 1678-4464","journalAbbreviation":"Cad. Saúde Pública","language":"en","page":"e00151620","source":"SciELO","title":"Community participation in the fight against COVID-19: between utilitarianism and social justice","title-short":"Community participation in the fight against COVID-19","volume":"36","author":[{"family":"Bispo Júnior","given":"José Patrício"},{"family":"Morais","given":"Marciglei Brito"}],"issued":{"date-parts":[["2020",8,3]]}}},{"id":7048,"uris":["http://zotero.org/users/2351503/items/YG3A682A"],"itemData":{"id":7048,"type":"article-journal","abstract":"The economic fallout of Covid-19 is exposing the deepest flaws, fractures, and inequities within our health care and social service systems. There is a growing gap between the need for essential resources and the capacity to coordinate and meet those needs. While we all respond to the immediate challenges, we also need to commit to rebuilding these systems with sustainable solutions that address essential resource needs, equity, and social determinants of health., Flattening the curve of Covid-19 infections and deaths requires a multidisciplinary approach where health care, government, and community all play a role. But the impact of this pandemic extends far beyond the illness itself — and right now, a separate curve tied to the need for essential resources is surging as the secondary impacts of Covid-19 ignite. In the same way that there has been a global call to action to “flatten the curve” of coronavirus infections through interventions like social distancing, there must also be a new call to action to ensure that our most vulnerable have food, housing, health, mental health, and other essential resources. The CEOs of Health Leads and Hopelab provide learnings from the field, and a framework for understanding the dimensions of the growing gap between essential resource needs and the capacity to meet those needs, which includes the ability to effectively coordinate resources and facilitate cross-sector collaboration as we rebuild systems with sustainable solutions.","container-title":"Nejm Catalyst Innovations in Care Delivery","DOI":"10.1056/CAT.20.0186","ISSN":"2642-0007","journalAbbreviation":"NEJM Catal Innov Care Deliv","note":"PMID: null\nPMCID: PMC7371326","source":"PubMed Central","title":"Addressing Community Needs and Preparing for the Secondary Impacts of Covid-19","URL":"https://www.ncbi.nlm.nih.gov/pmc/articles/PMC7371326/","author":[{"family":"Quinn","given":"Alexandra"},{"family":"Laws","given":"Margaret"}],"accessed":{"date-parts":[["2020",10,17]]},"issued":{"date-parts":[["2020",6,25]]}}},{"id":7046,"uris":["http://zotero.org/users/2351503/items/G3HNEEQL"],"itemData":{"id":7046,"type":"article-journal","abstract":"Drawing on data from Zhejiang Province, this study explores China’s collaborative response to COVID-19 in which business associations played a critical role. Consistent with existing literature on cross-sector collaboration and nonprofit contributions in extreme events, the preliminary findings of this study carry significant implications for future research to advance new knowledge. Specifically, two important next steps of future research that hold considerable promise—examining the overwhelming impact of the institutional environment on collaboration and accounting for the complex mechanisms in which multiple components of collaboration create outcomes through a configurational approach—emerged from this study. In addition, the practical implications of these findings are highlighted.","container-title":"Nonprofit and Voluntary Sector Quarterly","DOI":"10.1177/0899764020964591","ISSN":"0899-7640","journalAbbreviation":"Nonprofit and Voluntary Sector Quarterly","language":"en","page":"0899764020964591","source":"SAGE Journals","title":"Combating COVID-19 Together: China’s Collaborative Response and the Role of Business Associations","title-short":"Combating COVID-19 Together","author":[{"family":"Zhang","given":"Zhibin"},{"family":"Shen","given":"Yongdong"},{"family":"Yu","given":"Jianxing"}],"issued":{"date-parts":[["2020",10,13]]}}}],"schema":"https://github.com/citation-style-language/schema/raw/master/csl-citation.json"} </w:instrText>
      </w:r>
      <w:r>
        <w:rPr>
          <w:rFonts w:ascii="Arial" w:hAnsi="Arial" w:cs="Arial"/>
          <w:sz w:val="24"/>
          <w:szCs w:val="24"/>
        </w:rPr>
        <w:fldChar w:fldCharType="separate"/>
      </w:r>
      <w:r>
        <w:rPr>
          <w:rFonts w:ascii="Arial" w:hAnsi="Arial" w:cs="Arial"/>
          <w:kern w:val="0"/>
          <w:sz w:val="24"/>
          <w:szCs w:val="24"/>
        </w:rPr>
        <w:t>(Bispo Júnior &amp; Morais, 2020; Quinn &amp; Laws, 2020; Zhang et al., 2020)</w:t>
      </w:r>
      <w:r>
        <w:rPr>
          <w:rFonts w:ascii="Arial" w:hAnsi="Arial" w:cs="Arial"/>
          <w:sz w:val="24"/>
          <w:szCs w:val="24"/>
        </w:rPr>
        <w:fldChar w:fldCharType="end"/>
      </w:r>
      <w:r>
        <w:rPr>
          <w:rFonts w:ascii="Arial" w:hAnsi="Arial" w:cs="Arial"/>
          <w:sz w:val="24"/>
          <w:szCs w:val="24"/>
        </w:rPr>
        <w:t xml:space="preserve">. Según los propósitos de la Salud Global, el empoderamiento ciudadano, el respeto por el medio ambiente, el compromiso con las generaciones futuras y la planificación democrática, entre otros, se convierten en estrategias esenciales de los gobiernos locales en el marco de un proceso centrado en la reorganización de la atención </w:t>
      </w:r>
      <w:r>
        <w:rPr>
          <w:rFonts w:ascii="Arial" w:hAnsi="Arial" w:cs="Arial"/>
          <w:sz w:val="24"/>
          <w:szCs w:val="24"/>
        </w:rPr>
        <w:lastRenderedPageBreak/>
        <w:t xml:space="preserve">primaria de salud y el desarrollo de políticas internacionales de salud pública </w:t>
      </w:r>
      <w:r>
        <w:rPr>
          <w:rFonts w:ascii="Arial" w:hAnsi="Arial" w:cs="Arial"/>
          <w:sz w:val="24"/>
          <w:szCs w:val="24"/>
        </w:rPr>
        <w:fldChar w:fldCharType="begin"/>
      </w:r>
      <w:r>
        <w:rPr>
          <w:rFonts w:ascii="Arial" w:hAnsi="Arial" w:cs="Arial"/>
          <w:sz w:val="24"/>
          <w:szCs w:val="24"/>
        </w:rPr>
        <w:instrText xml:space="preserve"> ADDIN ZOTERO_ITEM CSL_CITATION {"citationID":"RWfSPmZo","properties":{"formattedCitation":"(Akrich &amp; Rabeharisoa, 2012; Kelaher et al., 2016; Nhamo &amp; Ndlela, 2021)","plainCitation":"(Akrich &amp; Rabeharisoa, 2012; Kelaher et al., 2016; Nhamo &amp; Ndlela, 2021)","noteIndex":0},"citationItems":[{"id":22208,"uris":["http://zotero.org/users/2351503/items/ZV54ADGA"],"itemData":{"id":22208,"type":"article-journal","abstract":"In the health sector, lay expertise refers to two distinct but related phenomena: experiential expertise, i.e. expertise based on the experience of a specific condition, and medical-scientific expertise. A significant part of the activities of patient organizations are devoted to developing both forms of expertise: on the one hand, they collect, shape, analyze their members&amp;#8217; testimonies, conduct surveys and produce statistics; on the other hand, they provide a scientific watch, synthesize the academic literature, publish documents for the public or organize conferences. This two-fold expertise is mobilized in actions directed both at empowering of the individual patient as well as at shaping health policies: therefore it contributes to health democracy, understood in the double sense used in the March 4th 2002 Act, i.e. as participation of individuals to decisions regarding their own health and as participation of patients&amp;#8217; and users&amp;#8217; representatives to the governance of health.","container-title":"Sante Publique","ISSN":"0995-3914","issue":"1","language":"fr","note":"Bibliographie_available: 0\nCairndomain: www.cairn-int.info\nCite Par_available: 1\npublisher: S.F.S.P.","page":"69-74","source":"www.cairn-int.info","title":"Lay Expertise in Patient Organizations: A Tool for Healthcare Democracy","title-short":"Lay Expertise in Patient Organizations","volume":"24","author":[{"family":"Akrich","given":"Madeleine"},{"family":"Rabeharisoa","given":"Vololona"}],"issued":{"date-parts":[["2012",4,12]]}}},{"id":8290,"uris":["http://zotero.org/users/2351503/items/QM5PP2NT"],"itemData":{"id":8290,"type":"article-journal","abstract":"Background: Developing the research capacity of low- and middle-income countries (LMICs) has been shown to be one of the key ways that international health programmes and health research can create sustained benefit in these countries. The aim of this study was to examine trends in first-authorship for researchers from LMIC institutions (LMIC first-authors) over the period 1990-2013.Methods: This study systematically reviewed research articles about randomized controlled trials (RCTs) in HIV/AIDS, malaria and tuberculosis (TB) conducted in LMICs from 1990 to 2013, and identified the institutional affiliations of the authors. Key variables extracted from the articles included author affiliation, funding source, disease, intervention type, region and year of publication. Poisson regression was used to explore the impact of these key variables on LMIC first-authorship over time.Results: A total of 1593 articles were identified, of which 49.8% had LMIC first-authors. From 1990 to 2000 a total of 222 trials were published, and from 2001 to 2013 a total of 1371 trials were published, with a steady year-on-year increase over the period particularly evident in trials conducted in Africa. Whereas the absolute total number of LMIC first-authors has increased, as a proportion of all authors it declined. The relative rate increase in first-authorships post 2000 was 11.8-fold for non-LMIC first-authors and 2.8-fold for LMIC authors. LMIC first-authorship increased over time for research funded from LMIC; but LMIC first-authorship declined over time for research funded from high income countries (HIC).Conclusions: The absolute increase in the number of trials in HIV/AIDS, malaria and tuberculosis in Africa has led to a modest increase in LMIC first-authors, and a much larger increase in non-LMIC authors. The findings suggest that more inclusive policies by international funders are important in shifting research control to LMICs and improving research equity in the future.","container-title":"International Journal of Epidemiology","DOI":"10.1093/ije/dyw313","ISSN":"0300-5771","issue":"6","journalAbbreviation":"International Journal of Epidemiology","page":"2174-2183","source":"Silverchair","title":"Equity in global health research in the new millennium: trends in first-authorship for randomized controlled trials among low- and middle-income country researchers 1990-2013","title-short":"Equity in global health research in the new millennium","volume":"45","author":[{"family":"Kelaher","given":"Margaret"},{"family":"Ng","given":"Lye"},{"family":"Knight","given":"Kieran"},{"family":"Rahadi","given":"Arie"}],"issued":{"date-parts":[["2016",12,1]]}}},{"id":8416,"uris":["http://zotero.org/users/2351503/items/SRTNM9BI"],"itemData":{"id":8416,"type":"article-journal","abstract":"The Covid-19 pandemic has exposed the fragility of linear and monocentric approaches in addressing today's complex, cross-cutting, and interconnected challenges. Experiences from the Covid-19 have shown that focusing on one sector during a crisis only aggravates the stresses in other sectors as decision-makers often view the world from a linear perspective, with the thought that a click of a button would get the economy and society back on track. This study argues that linearity forgets the interconnectedness of systems and how their systemic properties shape their interactions, interdependencies, and interrelationships, whereas nexus planning integrates and simplifies socio-ecological systems, indicates priority areas for intervention, and reduces risk and vulnerability. The lockdowns implemented during the peak of the Covid-19 pandemic resulted in job losses, company closures, and economic recessions, demonstrating that linear approaches often over-emphasise on a limited set of attributes of a system, notably efficiency, at the expense of other aspects. While linear approaches have been beneficial to some extent for long, the Covid-19 pandemic exposed how they transfer stresses to other sectors, and compromise resilience-building initiatives, allowing failure to cascade from one sector to the other. Nexus planning emphasises on cross-sectoral sustainability and enhances socio-economic resilience against future shocks.","container-title":"Environmental Research","DOI":"10.1016/j.envres.2020.110376","ISSN":"0013-9351","journalAbbreviation":"Environmental Research","page":"110376","source":"ScienceDirect","title":"Nexus planning as a pathway towards sustainable environmental and human health post Covid-19","volume":"192","author":[{"family":"Nhamo","given":"Luxon"},{"family":"Ndlela","given":"Bekithemba"}],"issued":{"date-parts":[["2021",1,1]]}}}],"schema":"https://github.com/citation-style-language/schema/raw/master/csl-citation.json"} </w:instrText>
      </w:r>
      <w:r>
        <w:rPr>
          <w:rFonts w:ascii="Arial" w:hAnsi="Arial" w:cs="Arial"/>
          <w:sz w:val="24"/>
          <w:szCs w:val="24"/>
        </w:rPr>
        <w:fldChar w:fldCharType="separate"/>
      </w:r>
      <w:r>
        <w:rPr>
          <w:rFonts w:ascii="Arial" w:hAnsi="Arial" w:cs="Arial"/>
          <w:sz w:val="24"/>
          <w:szCs w:val="24"/>
        </w:rPr>
        <w:t>(Akrich &amp; Rabeharisoa, 2012; Kelaher et al., 2016; Nhamo &amp; Ndlela, 2021)</w:t>
      </w:r>
      <w:r>
        <w:rPr>
          <w:rFonts w:ascii="Arial" w:hAnsi="Arial" w:cs="Arial"/>
          <w:sz w:val="24"/>
          <w:szCs w:val="24"/>
        </w:rPr>
        <w:fldChar w:fldCharType="end"/>
      </w:r>
      <w:r>
        <w:rPr>
          <w:rFonts w:ascii="Arial" w:hAnsi="Arial" w:cs="Arial"/>
          <w:sz w:val="24"/>
          <w:szCs w:val="24"/>
        </w:rPr>
        <w:t>.</w:t>
      </w:r>
    </w:p>
    <w:p w14:paraId="31690FAB" w14:textId="77777777" w:rsidR="0093626A" w:rsidRDefault="0093626A" w:rsidP="005915A7">
      <w:pPr>
        <w:spacing w:after="0" w:line="360" w:lineRule="auto"/>
        <w:jc w:val="both"/>
        <w:rPr>
          <w:rFonts w:ascii="Arial" w:hAnsi="Arial" w:cs="Arial"/>
          <w:sz w:val="24"/>
          <w:szCs w:val="24"/>
        </w:rPr>
      </w:pPr>
    </w:p>
    <w:p w14:paraId="268AECBD" w14:textId="77777777" w:rsidR="0093626A" w:rsidRDefault="00000000" w:rsidP="00634580">
      <w:pPr>
        <w:spacing w:after="0" w:line="360" w:lineRule="auto"/>
        <w:ind w:firstLine="708"/>
        <w:jc w:val="both"/>
        <w:rPr>
          <w:rFonts w:ascii="Arial" w:hAnsi="Arial" w:cs="Arial"/>
          <w:sz w:val="24"/>
          <w:szCs w:val="24"/>
        </w:rPr>
      </w:pPr>
      <w:r>
        <w:rPr>
          <w:rFonts w:ascii="Arial" w:hAnsi="Arial" w:cs="Arial"/>
          <w:sz w:val="24"/>
          <w:szCs w:val="24"/>
        </w:rPr>
        <w:t xml:space="preserve">Como consecuencia de ello, asistimos en las últimas décadas a una proliferación de debates sobre el papel que deben desempeñar los ciudadanos y las comunidades locales para abordar los desafíos de salud pública asociados a la globalización </w:t>
      </w:r>
      <w:r>
        <w:rPr>
          <w:rFonts w:ascii="Arial" w:hAnsi="Arial" w:cs="Arial"/>
          <w:sz w:val="24"/>
          <w:szCs w:val="24"/>
        </w:rPr>
        <w:fldChar w:fldCharType="begin"/>
      </w:r>
      <w:r>
        <w:rPr>
          <w:rFonts w:ascii="Arial" w:hAnsi="Arial" w:cs="Arial"/>
          <w:sz w:val="24"/>
          <w:szCs w:val="24"/>
        </w:rPr>
        <w:instrText xml:space="preserve"> ADDIN ZOTERO_ITEM CSL_CITATION {"citationID":"rG6hEzyM","properties":{"formattedCitation":"(Akrich et al., 2013; Bispo J\\uc0\\u250{}nior &amp; Morais, 2020; Hoffman &amp; Cole, 2018)","plainCitation":"(Akrich et al., 2013; Bispo Júnior &amp; Morais, 2020; Hoffman &amp; Cole, 2018)","noteIndex":0},"citationItems":[{"id":22207,"uris":["http://zotero.org/users/2351503/items/SITUWALI"],"itemData":{"id":22207,"type":"book","abstract":"Le domaine de la santé a été largement transformé depuis une vingtaine d’années par l’action des associations de patients. Ces associations s’impliquent dans la production et la diffusion de connaissances sur les maladies et les questions de santé ; elles jouent un rôle actif dans l’émergence et la consolidation des mobilisations collectives autour des problèmes de santé ; elles sont reconnues comme des acteurs à part entière de la démocratie sanitaire aux côtés des pouvoirs publics, des professionnels et des acteurs économiques. Face aux mutations pressantes du domaine, elles pensent et explorent de nouvelles formes d’action associatives, de nouveaux modes d’intervention publique. Cet ouvrage rend compte directement de l’expérience des associations, à travers une série de discussions collectives conduites avec une cinquantaine d’entre elles. Ces témoignages éclairent la compréhension du fonctionnement associatif et permettent d’appréhender les défis auxquels les associations sont aujourd’hui confrontées ; ils sont destinés à favoriser le dialogue entre les usagers, le monde politique et les professionnels.","collection-title":"Sciences sociales","event-place":"Paris","ISBN":"978-2-35671-093-2","language":"fr","license":"https://www.openedition.org/12554","note":"container-title: Se mobiliser pour la santé : Des associations témoignent\nDOI: 10.4000/books.pressesmines.1467\ncontainer-title: Se mobiliser pour la santé : Des associations témoignent\ncontainer-title: Se mobiliser pour la santé : Des associations témoignent\ncollection-title: Sciences sociales","publisher":"Presses des Mines","publisher-place":"Paris","source":"OpenEdition Books","title":"Se mobiliser pour la santé : Des associations témoignent","title-short":"Se mobiliser pour la santé","URL":"http://books.openedition.org/pressesmines/1467","author":[{"family":"Akrich","given":"Madeleine"},{"family":"Méadel","given":"Cécile"},{"family":"Rabeharisoa","given":"Vololona"}],"accessed":{"date-parts":[["2023",6,16]]},"issued":{"date-parts":[["2013",5,14]]}}},{"id":7403,"uris":["http://zotero.org/users/2351503/items/RQIIUEG4"],"itemData":{"id":7403,"type":"article-journal","abstract":"O presente ensaio objetivou discutir os fundamentos e possibilidades da participação comunitária para o enfrentamento da COVID-19. Na primeira parte, são discutidos os sentidos de comunidade definidos por critérios geográficos, de agregação de interesses ou epidemiológicos. No contexto da pandemia, reflete-se que nenhuma das três perspectivas podem ser consideradas isoladamente. Foi discutida a necessidade de articulação das diferentes abordagens a fim de se prover intervenções sanitárias socialmente contextualizadas. Em seguida, são apresentados os quatro principais modelos teóricos presentes na literatura internacional que fundamentam as práticas de participação comunitária em diversos países. Para a análise da participação comunitária no contexto da COVID-19 foi utilizada a sistematização conceitual fundamentada em duas metanarrativas: a utilitarista e a da justiça social. A perspectiva utilitarista envolve ações direcionadas às medidas de restrição do contato social. Nesse sentido, a participação é entendida como colaboração na execução de ações que contribuam para o controle do agravo. A perspectiva da justiça social aborda sobretudo os determinantes sociais da saúde e a redução das desigualdades sociais. Trata-se de abordagem voltada ao empoderamento comunitário e à busca de soluções para os problemas sociais e econômicos determinantes da disseminação da COVID-19 e de outras doenças. Conclui-se sobre as peculiaridades e a importância de cada uma das abordagens. A participação comunitária no enfrentamento da COVID-19 deve considerar os contextos emergencial, de fortalecimento do sistema de saúde e de defesa do sistema de proteção social e da democracia.","container-title":"Cadernos de Saúde Pública","DOI":"10.1590/0102-311x00151620","ISSN":"0102-311X, 0102-311X, 1678-4464","journalAbbreviation":"Cad. Saúde Pública","language":"en","page":"e00151620","source":"SciELO","title":"Community participation in the fight against COVID-19: between utilitarianism and social justice","title-short":"Community participation in the fight against COVID-19","volume":"36","author":[{"family":"Bispo Júnior","given":"José Patrício"},{"family":"Morais","given":"Marciglei Brito"}],"issued":{"date-parts":[["2020",8,3]]}}},{"id":8922,"uris":["http://zotero.org/users/2351503/items/A7DC54HV"],"itemData":{"id":8922,"type":"article-journal","abstract":"The global health system has faced significant expansion over the past few decades, including continued increase in both the number and diversity of actors operating within it. However, without a stronger understanding of what the global health system encompasses, coordination of actors and resources to address today’s global health challenges will not be possible.","container-title":"Globalization and Health","DOI":"10.1186/s12992-018-0340-2","ISSN":"1744-8603","issue":"1","journalAbbreviation":"Globalization and Health","page":"38","source":"BioMed Central","title":"Defining the global health system and systematically mapping its network of actors","volume":"14","author":[{"family":"Hoffman","given":"Steven J."},{"family":"Cole","given":"Clarke B."}],"issued":{"date-parts":[["2018",4,17]]}}}],"schema":"https://github.com/citation-style-language/schema/raw/master/csl-citation.json"} </w:instrText>
      </w:r>
      <w:r>
        <w:rPr>
          <w:rFonts w:ascii="Arial" w:hAnsi="Arial" w:cs="Arial"/>
          <w:sz w:val="24"/>
          <w:szCs w:val="24"/>
        </w:rPr>
        <w:fldChar w:fldCharType="separate"/>
      </w:r>
      <w:r>
        <w:rPr>
          <w:rFonts w:ascii="Arial" w:hAnsi="Arial" w:cs="Arial"/>
          <w:kern w:val="0"/>
          <w:sz w:val="24"/>
          <w:szCs w:val="24"/>
        </w:rPr>
        <w:t>(Akrich et al., 2013; Bispo Júnior &amp; Morais, 2020; Hoffman &amp; Cole, 2018)</w:t>
      </w:r>
      <w:r>
        <w:rPr>
          <w:rFonts w:ascii="Arial" w:hAnsi="Arial" w:cs="Arial"/>
          <w:sz w:val="24"/>
          <w:szCs w:val="24"/>
        </w:rPr>
        <w:fldChar w:fldCharType="end"/>
      </w:r>
      <w:r>
        <w:rPr>
          <w:rFonts w:ascii="Arial" w:hAnsi="Arial" w:cs="Arial"/>
          <w:sz w:val="24"/>
          <w:szCs w:val="24"/>
        </w:rPr>
        <w:t xml:space="preserve">. La globalización, debido a la miríada de dimensiones que la configuran (política, económica, social, tecnológica, ecológica, cultural, etc.), representa hoy día uno de los desafíos más importantes para los investigadores en el campo de la Salud Global, que se enfrentan hoy día a problemáticas de alcance planetario </w:t>
      </w:r>
      <w:r>
        <w:rPr>
          <w:rFonts w:ascii="Arial" w:hAnsi="Arial" w:cs="Arial"/>
          <w:sz w:val="24"/>
          <w:szCs w:val="24"/>
        </w:rPr>
        <w:fldChar w:fldCharType="begin"/>
      </w:r>
      <w:r>
        <w:rPr>
          <w:rFonts w:ascii="Arial" w:hAnsi="Arial" w:cs="Arial"/>
          <w:sz w:val="24"/>
          <w:szCs w:val="24"/>
        </w:rPr>
        <w:instrText xml:space="preserve"> ADDIN ZOTERO_ITEM CSL_CITATION {"citationID":"nr3TriDZ","properties":{"formattedCitation":"(Carrier, 2019; Theobald et al., 2018)","plainCitation":"(Carrier, 2019; Theobald et al., 2018)","noteIndex":0},"citationItems":[{"id":166,"uris":["http://zotero.org/users/2351503/items/TS4BGUXW"],"itemData":{"id":166,"type":"article-journal","abstract":"The notion of context, while underpinning everything that we do in health care, remains something that is difficult to define; however, it determines the success or failure of everything that we do, particularly in the global healthcare arena. Whether we consider context as an objective or subjective construct, it should influence every evidence-based decision we make as healthcare professionals. Methods developed as part of the implementation science movement, including realist synthesis and 'mindlines', emphasize the important of addressing social, cultural and environmental context-specific influences when considering the implementation of complex interventions, particularly in diverse populations. The Joanna Briggs Institute evidence-based clinical fellowship program empowers practitioners, through education, to implement evidence into their own practice areas, taking into account the key variables that impact on successful adoption.","container-title":"International Journal of Evidence-Based Healthcare","DOI":"10.1097/XEB.0000000000000182","ISSN":"1744-1609","journalAbbreviation":"Int J Evid Based Healthc","language":"eng","note":"PMID: 31283573","page":"S22-S23","source":"PubMed","title":"Implementing evidence in local and global contexts","volume":"17 Suppl 1","author":[{"family":"Carrier","given":"Judith"}],"issued":{"date-parts":[["2019",6]]}}},{"id":4809,"uris":["http://zotero.org/users/2351503/items/2VQQX2IN"],"itemData":{"id":4809,"type":"article-journal","abstract":"&lt;h2&gt;Summary&lt;/h2&gt;&lt;p&gt;Implementation research is important in global health because it addresses the challenges of the know–do gap in real-world settings and the practicalities of achieving national and global health goals. Implementation research is an integrated concept that links research and practice to accelerate the development and delivery of public health approaches. Implementation research involves the creation and application of knowledge to improve the implementation of health policies, programmes, and practices. This type of research uses multiple disciplines and methods and emphasises partnerships between community members, implementers, researchers, and policy makers. Implementation research focuses on practical approaches to improve implementation and to enhance equity, efficiency, scale-up, and sustainability, and ultimately to improve people's health. There is growing interest in the principles of implementation research and a range of perspectives on its purposes and appropriate methods. However, limited efforts have been made to systematically document and review learning from the practice of implementation research across different countries and technical areas. Drawing on an expert review process, this Health Policy paper presents purposively selected case studies to illustrate the essential characteristics of implementation research and its application in low-income and middle-income countries. The case studies are organised into four categories related to the purposes of using implementation research, including improving people's health, informing policy design and implementation, strengthening health service delivery, and empowering communities and beneficiaries. Each of the case studies addresses implementation problems, involves partnerships to co-create solutions, uses tacit knowledge and research, and is based on a shared commitment towards improving health outcomes. The case studies reveal the complex adaptive nature of health systems, emphasise the importance of understanding context, and highlight the role of multidisciplinary, rigorous, and adaptive processes that allow for course correction to ensure interventions have an impact. This Health Policy paper is part of a call to action to increase the use of implementation research in global health, build the field of implementation research inclusive of research utilisation efforts, and accelerate efforts to bridge the gap between research, policy, and practice to improve health outcomes.&lt;/p&gt;","container-title":"The Lancet","DOI":"10.1016/S0140-6736(18)32205-0","ISSN":"0140-6736, 1474-547X","issue":"10160","journalAbbreviation":"The Lancet","language":"English","note":"PMID: 30314860","page":"2214-2228","source":"www.thelancet.com","title":"Implementation research: new imperatives and opportunities in global health","title-short":"Implementation research","volume":"392","author":[{"family":"Theobald","given":"Sally"},{"family":"Brandes","given":"Neal"},{"family":"Gyapong","given":"Margaret"},{"family":"El-Saharty","given":"Sameh"},{"family":"Proctor","given":"Enola"},{"family":"Diaz","given":"Theresa"},{"family":"Wanji","given":"Samuel"},{"family":"Elloker","given":"Soraya"},{"family":"Raven","given":"Joanna"},{"family":"Elsey","given":"Helen"},{"family":"Bharal","given":"Sushil"},{"family":"Pelletier","given":"David"},{"family":"Peters","given":"David H."}],"issued":{"date-parts":[["2018",11,17]]}}}],"schema":"https://github.com/citation-style-language/schema/raw/master/csl-citation.json"} </w:instrText>
      </w:r>
      <w:r>
        <w:rPr>
          <w:rFonts w:ascii="Arial" w:hAnsi="Arial" w:cs="Arial"/>
          <w:sz w:val="24"/>
          <w:szCs w:val="24"/>
        </w:rPr>
        <w:fldChar w:fldCharType="separate"/>
      </w:r>
      <w:r>
        <w:rPr>
          <w:rFonts w:ascii="Arial" w:hAnsi="Arial" w:cs="Arial"/>
          <w:sz w:val="24"/>
          <w:szCs w:val="24"/>
        </w:rPr>
        <w:t>(Carrier, 2019; Theobald et al., 2018)</w:t>
      </w:r>
      <w:r>
        <w:rPr>
          <w:rFonts w:ascii="Arial" w:hAnsi="Arial" w:cs="Arial"/>
          <w:sz w:val="24"/>
          <w:szCs w:val="24"/>
        </w:rPr>
        <w:fldChar w:fldCharType="end"/>
      </w:r>
      <w:r>
        <w:rPr>
          <w:rFonts w:ascii="Arial" w:hAnsi="Arial" w:cs="Arial"/>
          <w:sz w:val="24"/>
          <w:szCs w:val="24"/>
        </w:rPr>
        <w:t>.</w:t>
      </w:r>
    </w:p>
    <w:p w14:paraId="3AA8CB6D" w14:textId="77777777" w:rsidR="0093626A" w:rsidRDefault="0093626A" w:rsidP="005915A7">
      <w:pPr>
        <w:shd w:val="clear" w:color="auto" w:fill="FFFFFF" w:themeFill="background1"/>
        <w:spacing w:after="0" w:line="360" w:lineRule="auto"/>
        <w:jc w:val="both"/>
        <w:rPr>
          <w:rFonts w:ascii="Arial" w:hAnsi="Arial" w:cs="Arial"/>
          <w:sz w:val="24"/>
          <w:szCs w:val="24"/>
        </w:rPr>
      </w:pPr>
    </w:p>
    <w:p w14:paraId="7890FA59" w14:textId="77777777" w:rsidR="0093626A" w:rsidRDefault="00000000" w:rsidP="00634580">
      <w:pPr>
        <w:shd w:val="clear" w:color="auto" w:fill="FFFFFF" w:themeFill="background1"/>
        <w:spacing w:after="0" w:line="360" w:lineRule="auto"/>
        <w:ind w:firstLine="708"/>
        <w:jc w:val="both"/>
        <w:rPr>
          <w:rFonts w:ascii="Arial" w:hAnsi="Arial" w:cs="Arial"/>
          <w:sz w:val="24"/>
          <w:szCs w:val="24"/>
          <w:lang w:val="fr-FR"/>
        </w:rPr>
      </w:pPr>
      <w:r>
        <w:rPr>
          <w:rFonts w:ascii="Arial" w:hAnsi="Arial" w:cs="Arial"/>
          <w:sz w:val="24"/>
          <w:szCs w:val="24"/>
        </w:rPr>
        <w:t xml:space="preserve">Resulta necesario crear e implementar una infraestructura internacional de investigación y acción en el campo de la Salud Global capaz de hacer frente, en particular, al desmantelamiento gradual de las estructuras intermedias tradicionales – tales como la familia, la comunidad o la escuela –, al aumento significativo de las desigualdades sociales en salud, a la fragmentación y debilitación de las pequeñas y medianas empresas, a la </w:t>
      </w:r>
      <w:r>
        <w:rPr>
          <w:rFonts w:ascii="Arial" w:hAnsi="Arial" w:cs="Arial"/>
          <w:sz w:val="24"/>
          <w:szCs w:val="24"/>
          <w:shd w:val="clear" w:color="auto" w:fill="FFFFFF" w:themeFill="background1"/>
        </w:rPr>
        <w:t>inestabilidad asociada a los movimientos migratorios forzados, a los crecientes problemas sociosanitarios relacionados con el consumo excesivo de alimentos transgénicos</w:t>
      </w:r>
      <w:r>
        <w:rPr>
          <w:rFonts w:ascii="Arial" w:hAnsi="Arial" w:cs="Arial"/>
          <w:sz w:val="24"/>
          <w:szCs w:val="24"/>
        </w:rPr>
        <w:t xml:space="preserve"> y tabaco, alcohol u otras drogas y, por último, a la aparición de nuevas fuentes de riesgo poblacional cuyas amenazas trascienden las fronteras nacionales, tal como las crisis sociosanitarias, el terrorismo, los conflictos armados y las consecuencias del cambio climático en el ecosistema planetario </w:t>
      </w:r>
      <w:r>
        <w:rPr>
          <w:rFonts w:ascii="Arial" w:hAnsi="Arial" w:cs="Arial"/>
          <w:sz w:val="24"/>
          <w:szCs w:val="24"/>
        </w:rPr>
        <w:fldChar w:fldCharType="begin"/>
      </w:r>
      <w:r>
        <w:rPr>
          <w:rFonts w:ascii="Arial" w:hAnsi="Arial" w:cs="Arial"/>
          <w:sz w:val="24"/>
          <w:szCs w:val="24"/>
        </w:rPr>
        <w:instrText xml:space="preserve"> ADDIN ZOTERO_ITEM CSL_CITATION {"citationID":"wjDGouNe","properties":{"formattedCitation":"(Beaglehole &amp; Bonita, 2008; Labont\\uc0\\u233{} et al., 2011; Singer et al., 2007; Varmus et al., 2003)","plainCitation":"(Beaglehole &amp; Bonita, 2008; Labonté et al., 2011; Singer et al., 2007; Varmus et al., 2003)","noteIndex":0},"citationItems":[{"id":502,"uris":["http://zotero.org/users/2351503/items/RUETJK7K"],"itemData":{"id":502,"type":"article-journal","abstract":"Global health is attracting an unprecedented level of interest. In this paper, we summarise recent trends and identify the unfinished and new agendas in global public health. We propose a global public health scorecard as a simple way to assess progress and suggest actions by public health practitioners and their organisations for improving the effectiveness of public health. Although we find many recent positive developments in global health, the potential for global cooperation and progress is still largely untapped. Compared with other components of development, health improvement should easily foster global cooperation; strong advocacy and political will are keys to continuing progress. We view global public health as a barometer of more general development. Our responses to the current health challenges are at the forefront of the global struggle for survival.","container-title":"The Lancet","DOI":"10.1016/S0140-6736(08)61558-5","ISSN":"0140-6736, 1474-547X","issue":"9654","journalAbbreviation":"The Lancet","language":"English","note":"PMID: 18945485","page":"1988-1996","source":"www.thelancet.com","title":"Global public health: a scorecard","title-short":"Global public health","volume":"372","author":[{"family":"Beaglehole","given":"Robert"},{"family":"Bonita","given":"Ruth"}],"issued":{"date-parts":[["2008",12,6]]}}},{"id":3137,"uris":["http://zotero.org/users/2351503/items/DFZ5ZJ2M"],"itemData":{"id":3137,"type":"article-journal","abstract":"In recent decades, public health policy and practice have been increasingly challenged by globalization, even as global financing for health has increased dramatically. This article discusses globalization and its health challenges from a vantage of political science, emphasizing increased global flows (of pathogens, information, trade, finance, and people) as driving, and driven by, global market integration. This integration requires a shift in public health thinking from a singular focus on international health (the higher disease burden in poor countries) to a more nuanced analysis of global health (in which health risks in both poor and rich countries are seen as having inherently global causes and consequences). Several globalization-related pathways to health exist, two key ones of which are described: globalized diseases and economic vulnerabilities. The article concludes with a call for national governments, especially those of wealthier nations, to take greater account of global health and its social determinants in all their foreign policies.","container-title":"Annual Review of Public Health","DOI":"10.1146/annurev-publhealth-031210-101225","ISSN":"1545-2093","journalAbbreviation":"Annu Rev Public Health","language":"eng","note":"PMID: 21219153","page":"263-283","source":"PubMed","title":"The growing impact of globalization for health and public health practice","volume":"32","author":[{"family":"Labonté","given":"Ronald"},{"family":"Mohindra","given":"Katia"},{"family":"Schrecker","given":"Ted"}],"issued":{"date-parts":[["2011"]]}}},{"id":6783,"uris":["http://zotero.org/users/2351503/items/NSPZFSJR"],"itemData":{"id":6783,"type":"article-journal","abstract":"The Grand Challenges initiative has 44 projects worldwide aimed at addressing diseases of the poor. What are the ethical, social, and cultural issues that the initiative faces?","container-title":"PLOS Medicine","DOI":"10.1371/journal.pmed.0040265","ISSN":"1549-1676","issue":"9","journalAbbreviation":"PLOS Medicine","language":"en","page":"e265","source":"PLoS Journals","title":"Grand Challenges in Global Health: The Ethical, Social and Cultural Program","title-short":"Grand Challenges in Global Health","volume":"4","author":[{"family":"Singer","given":"Peter A."},{"family":</w:instrText>
      </w:r>
      <w:r>
        <w:rPr>
          <w:rFonts w:ascii="Arial" w:hAnsi="Arial" w:cs="Arial"/>
          <w:sz w:val="24"/>
          <w:szCs w:val="24"/>
          <w:lang w:val="fr-FR"/>
        </w:rPr>
        <w:instrText xml:space="preserve">"Taylor","given":"Andrew D."},{"family":"Daar","given":"Abdallah S."},{"family":"Upshur","given":"Ross E. G."},{"family":"Singh","given":"Jerome A."},{"family":"Lavery","given":"James V."}],"issued":{"date-parts":[["2007",9,11]]}}},{"id":6782,"uris":["http://zotero.org/users/2351503/items/ZFBV2E2W"],"itemData":{"id":6782,"type":"article-journal","abstract":"&lt;p&gt; This week an international panel announces a list of 14 Grand Challenges in Global Health, and scientists throughout the world will be invited to submit grant proposals to pursue them with funds provided by the Bill &amp;amp; Melinda Gates Foundation. We describe the characteristics of these challenges and the process by which they were formulated and selected after receiving over 1000 responses to a \"call for ideas\" from the scientific community. &lt;/p&gt;","container-title":"Science","DOI":"10.1126/science.1091769","ISSN":"0036-8075, 1095-9203","issue":"5644","language":"en","license":"© 2003 American Association for the Advancement of Science","note":"PMID: 14563993","page":"398-399","source":"science.sciencemag.org","title":"Grand Challenges in Global Health","volume":"302","author":[{"family":"Varmus","given":"H."},{"family":"Klausner","given":"R."},{"family":"Zerhouni","given":"E."},{"family":"Acharya","given":"T."},{"family":"Daar","given":"A. S."},{"family":"Singer","given":"P. A."}],"issued":{"date-parts":[["2003",10,17]]}}}],"schema":"https://github.com/citation-style-language/schema/raw/master/csl-citation.json"} </w:instrText>
      </w:r>
      <w:r>
        <w:rPr>
          <w:rFonts w:ascii="Arial" w:hAnsi="Arial" w:cs="Arial"/>
          <w:sz w:val="24"/>
          <w:szCs w:val="24"/>
        </w:rPr>
        <w:fldChar w:fldCharType="separate"/>
      </w:r>
      <w:r>
        <w:rPr>
          <w:rFonts w:ascii="Arial" w:hAnsi="Arial" w:cs="Arial"/>
          <w:kern w:val="0"/>
          <w:sz w:val="24"/>
          <w:szCs w:val="24"/>
          <w:lang w:val="fr-FR"/>
        </w:rPr>
        <w:t>(Beaglehole &amp; Bonita, 2008; Labonté et al., 2011; Singer et al., 2007; Varmus et al., 2003)</w:t>
      </w:r>
      <w:r>
        <w:rPr>
          <w:rFonts w:ascii="Arial" w:hAnsi="Arial" w:cs="Arial"/>
          <w:sz w:val="24"/>
          <w:szCs w:val="24"/>
        </w:rPr>
        <w:fldChar w:fldCharType="end"/>
      </w:r>
      <w:r>
        <w:rPr>
          <w:rFonts w:ascii="Arial" w:hAnsi="Arial" w:cs="Arial"/>
          <w:sz w:val="24"/>
          <w:szCs w:val="24"/>
          <w:lang w:val="fr-FR"/>
        </w:rPr>
        <w:t>.</w:t>
      </w:r>
    </w:p>
    <w:p w14:paraId="6CE11BCB" w14:textId="77777777" w:rsidR="0093626A" w:rsidRDefault="0093626A" w:rsidP="005915A7">
      <w:pPr>
        <w:shd w:val="clear" w:color="auto" w:fill="FFFFFF" w:themeFill="background1"/>
        <w:tabs>
          <w:tab w:val="left" w:pos="102"/>
        </w:tabs>
        <w:spacing w:after="0" w:line="360" w:lineRule="auto"/>
        <w:jc w:val="both"/>
        <w:rPr>
          <w:rFonts w:ascii="Arial" w:hAnsi="Arial" w:cs="Arial"/>
          <w:sz w:val="24"/>
          <w:szCs w:val="24"/>
        </w:rPr>
      </w:pPr>
    </w:p>
    <w:p w14:paraId="12F43781" w14:textId="77777777" w:rsidR="0093626A" w:rsidRDefault="00000000" w:rsidP="005915A7">
      <w:pPr>
        <w:shd w:val="clear" w:color="auto" w:fill="FFFFFF" w:themeFill="background1"/>
        <w:tabs>
          <w:tab w:val="left" w:pos="102"/>
        </w:tabs>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En este contexto </w:t>
      </w:r>
      <w:r>
        <w:rPr>
          <w:rFonts w:ascii="Arial" w:hAnsi="Arial" w:cs="Arial"/>
          <w:sz w:val="24"/>
          <w:szCs w:val="24"/>
          <w:shd w:val="clear" w:color="auto" w:fill="FFFFFF" w:themeFill="background1"/>
        </w:rPr>
        <w:t>manifiestamente complejo,</w:t>
      </w:r>
      <w:r>
        <w:rPr>
          <w:rFonts w:ascii="Arial" w:hAnsi="Arial" w:cs="Arial"/>
          <w:sz w:val="24"/>
          <w:szCs w:val="24"/>
        </w:rPr>
        <w:t xml:space="preserve"> las autoridades sanitarias tradicionales comparten gradualmente su soberanía sobre los procesos de producción de políticas de salud pública y el control sobre los determinantes de la salud </w:t>
      </w:r>
      <w:r>
        <w:rPr>
          <w:rFonts w:ascii="Arial" w:hAnsi="Arial" w:cs="Arial"/>
          <w:sz w:val="24"/>
          <w:szCs w:val="24"/>
        </w:rPr>
        <w:fldChar w:fldCharType="begin"/>
      </w:r>
      <w:r>
        <w:rPr>
          <w:rFonts w:ascii="Arial" w:hAnsi="Arial" w:cs="Arial"/>
          <w:sz w:val="24"/>
          <w:szCs w:val="24"/>
        </w:rPr>
        <w:instrText xml:space="preserve"> ADDIN ZOTERO_ITEM CSL_CITATION {"citationID":"F9qJqLAv","properties":{"formattedCitation":"(Frenk &amp; Moon, 2013; Kruk, 2012; McInnes et al., 2012)","plainCitation":"(Frenk &amp; Moon, 2013; Kruk, 2012; McInnes et al., 2012)","noteIndex":0},"citationItems":[{"id":2248,"uris":["http://zotero.org/users/2351503/items/7I3ENA6A"],"itemData":{"id":2248,"type":"article-journal","abstract":"Global health is at the threshold of a new era. Few times in history has the world faced challenges as complex as those now posed by a trio of threats: first, the unfinished agenda of infections, undernutrition, and reproductive health problems; second, the rising global burden of noncommunicable diseases and their associated risk factors, such as smoking and obesity; and third, the challenges arising from globalization itself, such as the health effects of climate change and trade policies, which demand engagement outside the traditional health sector.1 These threats are evolving within a multifaceted and dynamic global context characterized by great . . .","container-title":"New England Journal of Medicine","DOI":"10.1056/NEJMra1109339","ISSN":"0028-4793","issue":"10","note":"PMID: 23465103","page":"936-942","source":"Taylor and Francis+NEJM","title":"Governance Challenges in Global Health","volume":"368","author":[{"family":"Frenk","given":"Julio"},{"family":"Moon","given":"Suerie"}],"issued":{"date-parts":[["2013",3,7]]}}},{"id":1894,"uris":["http://zotero.org/users/2351503/items/45K5QZVV"],"itemData":{"id":1894,"type":"article-journal","abstract":"Globalisation is a defining economic and social trend of the past several decades. Globalisation affects health directly and indirectly and creates economic and health disparities within and across countries. The political response to address these disparities, exemplified by the Millennium Development Goals, has put pressure on the global community to redress massive inequities in health and other determinants of human capability across countries. This, in turn, has accelerated a transformation in the architecture of global health governance. The entrance of new actors, such as private foundations and multi-stakeholder initiatives, contributed to a doubling of funds for global health between 2000 and 2010. Today the governance of public health is in flux, with diminished leadership from multilateral institutions, such as the WHO, and poor coherence in policy and programming that undermines the potential for sustainable health gains. These trends pose new challenges and opportunities for global public health, which is centrally concerned with identifying and addressing threats to the health of vulnerable populations worldwide.","container-title":"Global Public Health","DOI":"10.1080/17441692.2012.689313","ISSN":"1744-1692","issue":"sup1","page":"S54-S62","source":"Taylor and Francis+NEJM","title":"Globalisation and global health governance: Implications for public health","title-short":"Globalisation and global health governance","volume":"7","author":[{"family":"Kruk","given":"Margaret E."}],"issued":{"date-parts":[["2012",9,1]]}}},{"id":6786,"uris":["http://zotero.org/users/2351503/items/BMNP9SZF"],"itemData":{"id":6786,"type":"article-journal","abstract":"With the emergence of global health comes governance challenges which are equally global in nature. This article identifies some of the initial limitations in analyses of global health governance (GHG) before discussing the focus of this special supplement: the framing of global health issues and the manner in which this impacts upon GHG. Whilst not denying the importance of material factors (such as resources and institutional competencies), the article identifies how issues can be framed in different ways, thereby creating particular pathways of response which in turn affect the potential for and nature of GHG. It also identifies and discusses the key frames operating in global health: evidence-based medicine, human rights, security, economics and development.","container-title":"Global Public Health","DOI":"10.1080/17441692.2012.733949","ISSN":"1744-1692","issue":"sup2","page":"S83-S94","source":"Taylor and Francis+NEJM","title":"Framing global health: The governance challenge","title-short":"Framing global health","volume":"7","author":[{"family":"McInnes","given":"Colin"},{"family":"Kamradt-Scott","given":"Adam"},{"family":"Lee","given":"Kelley"},{"family":"Reubi","given":"David"},{"family":"Roemer-Mahler","given":"Anne"},{"family":"Rushton","given":"Simon"},{"family":"Woodling","given":"Marie"}],"issued":{"date-parts":[["2012",12,1]]}}}],"schema":"https://github.com/citation-style-language/schema/raw/master/csl-citation.json"} </w:instrText>
      </w:r>
      <w:r>
        <w:rPr>
          <w:rFonts w:ascii="Arial" w:hAnsi="Arial" w:cs="Arial"/>
          <w:sz w:val="24"/>
          <w:szCs w:val="24"/>
        </w:rPr>
        <w:fldChar w:fldCharType="separate"/>
      </w:r>
      <w:r>
        <w:rPr>
          <w:rFonts w:ascii="Arial" w:hAnsi="Arial" w:cs="Arial"/>
          <w:sz w:val="24"/>
          <w:szCs w:val="24"/>
        </w:rPr>
        <w:t>(Frenk &amp; Moon, 2013; Kruk, 2012; McInnes et al., 2012)</w:t>
      </w:r>
      <w:r>
        <w:rPr>
          <w:rFonts w:ascii="Arial" w:hAnsi="Arial" w:cs="Arial"/>
          <w:sz w:val="24"/>
          <w:szCs w:val="24"/>
        </w:rPr>
        <w:fldChar w:fldCharType="end"/>
      </w:r>
      <w:r>
        <w:rPr>
          <w:rFonts w:ascii="Arial" w:hAnsi="Arial" w:cs="Arial"/>
          <w:sz w:val="24"/>
          <w:szCs w:val="24"/>
        </w:rPr>
        <w:t xml:space="preserve">. Esto facilita el </w:t>
      </w:r>
      <w:r>
        <w:rPr>
          <w:rFonts w:ascii="Arial" w:hAnsi="Arial" w:cs="Arial"/>
          <w:sz w:val="24"/>
          <w:szCs w:val="24"/>
        </w:rPr>
        <w:lastRenderedPageBreak/>
        <w:t xml:space="preserve">surgimiento de nuevas formas de gobernanza pública que trascienden la capacidad de toma de decisiones de estas instituciones para gestionar los riesgos a una escala nunca vista antes </w:t>
      </w:r>
      <w:r>
        <w:rPr>
          <w:rFonts w:ascii="Arial" w:hAnsi="Arial" w:cs="Arial"/>
          <w:sz w:val="24"/>
          <w:szCs w:val="24"/>
        </w:rPr>
        <w:fldChar w:fldCharType="begin"/>
      </w:r>
      <w:r>
        <w:rPr>
          <w:rFonts w:ascii="Arial" w:hAnsi="Arial" w:cs="Arial"/>
          <w:sz w:val="24"/>
          <w:szCs w:val="24"/>
        </w:rPr>
        <w:instrText xml:space="preserve"> ADDIN ZOTERO_ITEM CSL_CITATION {"citationID":"uunq7PLW","properties":{"formattedCitation":"(Kickbusch &amp; Reddy, 2015)","plainCitation":"(Kickbusch &amp; Reddy, 2015)","noteIndex":0},"citationItems":[{"id":4354,"uris":["http://zotero.org/users/2351503/items/X8HQCXBX"],"itemData":{"id":4354,"type":"article-journal","abstract":"The recent Ebola crisis has re-opened the debate on global health governance and the role of the World Health Organization. In order to analyze what is at stake, we apply two conceptual approaches from the social sciences - the work on gridlock and the concept of cosmopolitan moments - to assess the ability of the multilateral governance system to reform. We find that gridlock can be broken open by a health crisis which in turn generates a political drive for change. We show that a set of cosmopolitan moments have led to the introduction of the imperative of health in a range of policy arenas and moved health into 'high politics' - this has been called a political revolution. We contend that this revolution has entered a second phase with increasing interest of heads of state in global health issues. Here lies the window of opportunity to reform global health governance.","container-title":"Public Health","DOI":"10.1016/j.puhe.2015.04.014","ISSN":"1476-5616","issue":"7","journalAbbreviation":"Public Health","language":"eng","note":"PMID: 26040216","page":"838-842","source":"PubMed","title":"Global health governance - the next political revolution","volume":"129","author":[{"family":"Kickbusch","given":"I."},{"family":"Reddy","given":"K. S."}],"issued":{"date-parts":[["2015",7]]}}}],"schema":"https://github.com/citation-style-language/schema/raw/master/csl-citation.json"} </w:instrText>
      </w:r>
      <w:r>
        <w:rPr>
          <w:rFonts w:ascii="Arial" w:hAnsi="Arial" w:cs="Arial"/>
          <w:sz w:val="24"/>
          <w:szCs w:val="24"/>
        </w:rPr>
        <w:fldChar w:fldCharType="separate"/>
      </w:r>
      <w:r>
        <w:rPr>
          <w:rFonts w:ascii="Arial" w:hAnsi="Arial" w:cs="Arial"/>
          <w:sz w:val="24"/>
          <w:szCs w:val="24"/>
        </w:rPr>
        <w:t>(Kickbusch &amp; Reddy, 2015)</w:t>
      </w:r>
      <w:r>
        <w:rPr>
          <w:rFonts w:ascii="Arial" w:hAnsi="Arial" w:cs="Arial"/>
          <w:sz w:val="24"/>
          <w:szCs w:val="24"/>
        </w:rPr>
        <w:fldChar w:fldCharType="end"/>
      </w:r>
      <w:r>
        <w:rPr>
          <w:rFonts w:ascii="Arial" w:hAnsi="Arial" w:cs="Arial"/>
          <w:sz w:val="24"/>
          <w:szCs w:val="24"/>
        </w:rPr>
        <w:t xml:space="preserve">. Consecuentemente, una diversidad creciente de actores sociales que participa activamente en la implementación de programas de salud pública interviene en iniciativas de salud pública de alcance transnacional. </w:t>
      </w:r>
      <w:r>
        <w:rPr>
          <w:rFonts w:ascii="Arial" w:hAnsi="Arial" w:cs="Arial"/>
          <w:sz w:val="24"/>
          <w:szCs w:val="24"/>
          <w:shd w:val="clear" w:color="auto" w:fill="FFFFFF" w:themeFill="background1"/>
        </w:rPr>
        <w:t xml:space="preserve">Estos actores locales forman parte de redes internacionales de acción colectiva, en ocasiones de orden extrainstitucional, que facilitan el abordaje de desafíos de Salud Global en múltiples escenarios de luchas cotidianas y de gestión de conflictos sociales </w:t>
      </w:r>
      <w:r>
        <w:rPr>
          <w:rFonts w:ascii="Arial" w:hAnsi="Arial" w:cs="Arial"/>
          <w:sz w:val="24"/>
          <w:szCs w:val="24"/>
          <w:shd w:val="clear" w:color="auto" w:fill="FFFFFF" w:themeFill="background1"/>
        </w:rPr>
        <w:fldChar w:fldCharType="begin"/>
      </w:r>
      <w:r>
        <w:rPr>
          <w:rFonts w:ascii="Arial" w:hAnsi="Arial" w:cs="Arial"/>
          <w:sz w:val="24"/>
          <w:szCs w:val="24"/>
          <w:shd w:val="clear" w:color="auto" w:fill="FFFFFF" w:themeFill="background1"/>
        </w:rPr>
        <w:instrText xml:space="preserve"> ADDIN ZOTERO_ITEM CSL_CITATION {"citationID":"2UpU25nl","properties":{"formattedCitation":"(Kritz, 2018; Maleka et al., 2019)","plainCitation":"(Kritz, 2018; Maleka et al., 2019)","noteIndex":0},"citationItems":[{"id":792,"uris":["http://zotero.org/users/2351503/items/JKD8AZ8A"],"itemData":{"id":792,"type":"article-journal","abstract":"Despite the focus on programme sustainability, the implementation of this idea has\nproved to be challenging, particularly in developing countries.1,2 The goal of this\ncomment is to put forth a modest suggestion for expanding sustainability through cross-sector\ncollaboration. This idea is being tested with an ongoing project in the Old Fadama\nurban slum in Accra, Ghana. This project is designed to build upon the fragmentary\ncross-sector collaboration evidence base of developing countries.3 The approach incorporates\nnew ideas and research from the cross-sector collaboration literature from developed\ncountries.","container-title":"The Lancet Global Health","DOI":"10.1016/S2214-109X(18)30299-7","ISSN":"2214-109X","issue":"9","journalAbbreviation":"The Lancet Global Health","language":"English","note":"PMID: 30103989","page":"e952-e953","source":"www.thelancet.com","title":"Effective cross-sector collaborations create sustainability","volume":"6","author":[{"family":"Kritz","given":"Jessica"}],"issued":{"date-parts":[["2018",9,1]]}}},{"id":222,"uris":["http://zotero.org/users/2351503/items/7IZIG8AS"],"itemData":{"id":222,"type":"article-journal","abstract":"Background: Global health research partnerships, which promote the exchange of ideas, knowledge and expertise across countries, are considered key to addressing complex challenges facing health systems. Yet, many studies report inequalities in these partnerships, particularly in those between high and low-and-middle-income countries (LMICs).Objective: This paper examines global research collaborations on community health worker (CHW) programmes, specifically analysing the structures of authorship teams and networks in publications reporting research on CHW programmes in low-income countries (LICs).Methods: A sub-set of 206 indexed journal articles reporting on CHW programmes in LICs was purposefully selected from a prior review of research authorship on CHW programmes in all LMICs over a five year period (2012–2016). Data on country and primary organisational affiliation and number of publications for all individual authors, programme area (e.g. maternal child health) and total citations per paper were extracted and coded in excel spreadsheets. Data were then exported and analysed in Stata/ICV.14 and Gephi.Results: The 206 papers were authored by 1045 authors from 299 institutions, based in 43 countries. Half (50.1%) the authors came from LIC-based institutions, 43.8% from high-income country (HIC) institutions, 2.9% from middle-income country (MIC) institutions and 3.2% had different first affiliations in different publications. Authors based in the USA (302) and UK (68) accounted for just over a third (35.4%) of all authors. Partnership patterns revealed a primary mode of North–South collaboration with authors from the US, and to a lesser extent the UK, playing central bridging roles between institutions. Strong network clusters of multiple-affiliated authors were evident in research on MCH and HIV/TB aspects of CHW programmes.Conclusion: Knowledge production on CHW programmes in LICs flows predominantly through a pool of connected HIC authors and North–South collaborations. There is a need for strategies harnessing more diverse, including South–South, forms of partnership.","container-title":"Global Health Action","DOI":"10.1080/16549716.2019.1606570","ISSN":"1654-9716","issue":"1","note":"PMID: 31066343","page":"1606570","source":"Taylor and Francis+NEJM","title":"Research collaboration on community health worker programmes in low-income countries: an analysis of authorship teams and networks","title-short":"Research collaboration on community health worker programmes in low-income countries","volume":"12","author":[{"family":"Maleka","given":"Elma Nelisiwe"},{"family":"Currie","given":"Paul"},{"family":"Schneider","given":"Helen"}],"issued":{"date-parts":[["2019",1,1]]}}}],"schema":"https://github.com/citation-style-language/schema/raw/master/csl-citation.json"} </w:instrText>
      </w:r>
      <w:r>
        <w:rPr>
          <w:rFonts w:ascii="Arial" w:hAnsi="Arial" w:cs="Arial"/>
          <w:sz w:val="24"/>
          <w:szCs w:val="24"/>
          <w:shd w:val="clear" w:color="auto" w:fill="FFFFFF" w:themeFill="background1"/>
        </w:rPr>
        <w:fldChar w:fldCharType="separate"/>
      </w:r>
      <w:r>
        <w:rPr>
          <w:rFonts w:ascii="Arial" w:hAnsi="Arial" w:cs="Arial"/>
          <w:sz w:val="24"/>
          <w:szCs w:val="24"/>
          <w:shd w:val="clear" w:color="auto" w:fill="FFFFFF" w:themeFill="background1"/>
        </w:rPr>
        <w:t>(Kritz, 2018; Maleka et al., 2019)</w:t>
      </w:r>
      <w:r>
        <w:rPr>
          <w:rFonts w:ascii="Arial" w:hAnsi="Arial" w:cs="Arial"/>
          <w:sz w:val="24"/>
          <w:szCs w:val="24"/>
          <w:shd w:val="clear" w:color="auto" w:fill="FFFFFF" w:themeFill="background1"/>
        </w:rPr>
        <w:fldChar w:fldCharType="end"/>
      </w:r>
      <w:r>
        <w:rPr>
          <w:rFonts w:ascii="Arial" w:hAnsi="Arial" w:cs="Arial"/>
          <w:sz w:val="24"/>
          <w:szCs w:val="24"/>
          <w:shd w:val="clear" w:color="auto" w:fill="FFFFFF" w:themeFill="background1"/>
        </w:rPr>
        <w:t>.</w:t>
      </w:r>
    </w:p>
    <w:p w14:paraId="3E0213F9" w14:textId="77777777" w:rsidR="0093626A" w:rsidRDefault="0093626A" w:rsidP="005915A7">
      <w:pPr>
        <w:spacing w:after="0" w:line="360" w:lineRule="auto"/>
        <w:jc w:val="both"/>
        <w:rPr>
          <w:rFonts w:ascii="Arial" w:hAnsi="Arial" w:cs="Arial"/>
          <w:sz w:val="24"/>
          <w:szCs w:val="24"/>
        </w:rPr>
      </w:pPr>
    </w:p>
    <w:p w14:paraId="70C51590" w14:textId="77777777" w:rsidR="0093626A" w:rsidRDefault="00000000" w:rsidP="00634580">
      <w:pPr>
        <w:spacing w:after="0" w:line="360" w:lineRule="auto"/>
        <w:ind w:firstLine="708"/>
        <w:jc w:val="both"/>
        <w:rPr>
          <w:rFonts w:ascii="Arial" w:hAnsi="Arial" w:cs="Arial"/>
          <w:sz w:val="24"/>
          <w:szCs w:val="24"/>
        </w:rPr>
      </w:pPr>
      <w:r>
        <w:rPr>
          <w:rFonts w:ascii="Arial" w:hAnsi="Arial" w:cs="Arial"/>
          <w:sz w:val="24"/>
          <w:szCs w:val="24"/>
        </w:rPr>
        <w:t xml:space="preserve">Estas redes de acción colectiva interactúan más allá de las fronteras locales, constituyéndose como un espacio transnacional para la salud pública en dos sentidos: por un lado, las redes de acción colectiva local, convenientemente asociadas con el mundo académico, constituyen un espacio de coproducción de conocimientos que favorece la implementación de servicios sociosanitarios más adecuados y, por otro lado, estas redes van creando un campo de conocimiento que se estructura a nivel internacional dando lugar a nuevas alianzas estratégicas con otros entornos </w:t>
      </w:r>
      <w:r>
        <w:rPr>
          <w:rFonts w:ascii="Arial" w:hAnsi="Arial" w:cs="Arial"/>
          <w:sz w:val="24"/>
          <w:szCs w:val="24"/>
        </w:rPr>
        <w:fldChar w:fldCharType="begin"/>
      </w:r>
      <w:r>
        <w:rPr>
          <w:rFonts w:ascii="Arial" w:hAnsi="Arial" w:cs="Arial"/>
          <w:sz w:val="24"/>
          <w:szCs w:val="24"/>
        </w:rPr>
        <w:instrText xml:space="preserve"> ADDIN ZOTERO_ITEM CSL_CITATION {"citationID":"g0AqArzN","properties":{"formattedCitation":"(Duberry, 2020; D. Lee et al., 2020; Suarez-Herrera et al., 2021; Yang &amp; Su, 2020)","plainCitation":"(Duberry, 2020; D. Lee et al., 2020; Suarez-Herrera et al., 2021; Yang &amp; Su, 2020)","noteIndex":0},"citationItems":[{"id":192,"uris":["http://zotero.org/users/2351503/items/GFW4DED4"],"itemData":{"id":192,"type":"article-journal","abstract":"At the time of the covid-19 pandemic, most global health organizations had to adapt their work methods and processes to online collaborative tools such as Zoom, Google Meet or Webex Cisco. However, these new collaborative tools are mainly dedicated to staff. What about the participation of other stakeholders in the decision-making processes of these organizations? Based on a methodology that was initially developed to analyze the participation features of local governments' websites, this paper conducts a comparative analysis of the websites of 10 international health organizations. Some results are similar to e-participation in a local context: organizations use their website primarily to provide access to information rather than to engage with their stakeholders. This study also highlights the diversity of e-participation features and levels that GHG organizations offer to their audiences. Further research with a larger sample of organizations is needed to confirm these results. Au moment de la pandémie de la covid-19, la plupart des organisations internationales de la santé ont dû adapter leurs méthodes et processus de travail à des outils de collaboration en ligne tels que Zoom, Google Meet ou Webex Cisco. Cependant, ces nouveaux outils collaboratifs sont principalement dédiés au personnel. Qu'en est-il de la participation d'autres parties prenantes aux processus décisionnels de ces organisations ? Sur la base d'une méthodologie initialement développée pour analyser les caractéristiques de participation des sites internet des gouvernements locaux, cet article effectue une analyse comparative des sites internet de 10 organisations internationales de la santé. Cet article montre que les organisations de cet échantillon utilisent leur site internet principalement pour donner accès à des informations davantage que pour dialoguer avec différents publics. Cette étude met également en évidence la diversité des caractéristiques et des niveaux de participation en ligne que les organisations de la santé offrent à leurs parties prenantes. Des recherches plus approfondies et avec un échantillon plus large d'organisations sont nécessaires pour confirmer ces résultats.","language":"fre","source":"archive-ouverte.unige.ch","title":"e-Participation in global health organizations","URL":"https://archive-ouverte.unige.ch/unige:143095","author":[{"family":"Duberry","given":"Jérôme"}],"accessed":{"date-parts":[["2021",9,4]]},"issued":{"date-parts":[["2020"]]}}},{"id":569,"uris":["http://zotero.org/users/2351503/items/8XBJH6XS"],"itemData":{"id":569,"type":"article-journal","abstract":"The coronavirus crisis may lead to a deeper understanding of international collaborations for developing antivirals and vaccines that are essential to protect us from current and future health security threats. Beyond technical solutions, the government of South Korea needs to establish a timely strategic investment in coronavirus-related research and development (R&amp;amp;D) in order to enhance the capabilities for managing this new uncertainty in regard to the domestic health crisis. Thus, this study aims to provide useful information about the status of global coronavirus-related research from the South Korean government&amp;rsquo;s perspective. National funded projects stemmed from leading nations such as the United States, countries of the European Union, and Japan between 2012 and 2018. Six research fields were derived by clustering analysis and an expert-based approach, and then matched to those of South Korea. The comparative analysis among them allowed for the identification of the nations&amp;rsquo; strengths and weaknesses, thereby laying the groundwork for strategic international research collaborations.","container-title":"Healthcare","DOI":"10.3390/healthcare8030204","issue":"3","language":"en","license":"http://creativecommons.org/licenses/by/3.0/","page":"204","source":"www.mdpi.com","title":"A Strategy for International Cooperation in the COVID-19 Pandemic Era: Focusing on National Scientific Funding Data","title-short":"A Strategy for International Cooperation in the COVID-19 Pandemic Era","volume":"8","author":[{"family":"Lee","given":"Doyeon"},{"family":"Heo","given":"Yoseob"},{"family":"Kim","given":"Keunhwan"}],"issued":{"date-parts":[["2020",9]]}}},{"id":245,"uris":["http://zotero.org/users/2351503/items/2FXSLGMS"],"itemData":{"id":245,"type":"chapter","abstract":"In the face of the complexity of today's global health challenges, the international public health policies proposed by the World Health Organisation (WHO)\ngradually integrate certain strategies that were not considered in Alma Ata, such as the measurement of the health impacts of the global recession and globalisation, the need for people-centred approaches to sustainable development, a strong commitment to ethical principles of health equity, and a broad use of strategic partnerships for health at global, national and local levels (Buss, 2020; Kickbusch, 2016).","container-title":"Epidemiología del desarrollo sostenible","event-place":"Córdoba (Argentina)","page":"179-214","publisher":"Creative Commons de Acceso Abierto","publisher-place":"Córdoba (Argentina)","title":"Alianzas estratégicas en Salud Global: perspectivas innovadoras para una Epidemiología del Desarrollo Sostenible","author":[{"family":"Suarez-Herrera","given":"J.C."},{"family":"Marques da Cruz","given":"M."},{"family":"Hartz","given":"Z."}],"issued":{"date-parts":[["2021"]]}}},{"id":22860,"uris":["http://zotero.org/users/2351503/items/UZDYPDM9"],"itemData":{"id":22860,"type":"article-journal","abstract":"With the development of the Internet, social networking sites have empowered the public to directly express their views about social issues and hence contribute to social change. As a new type of voice behavior, public voice on social media has aroused wide concern among scholars. However, why public voice is expressed and how it influences social development and betterment in times of public health emergencies remains unstudied. A key point is whether governments can take effective countermeasures when faced with public health emergencies. In such situation, public voice is of great significance in the formulation and implementation of coping policies. This qualitive study uses China's Health Code policy under COVID-19 to explore why the public performs voice behavior on social media and how this influences policy evolution and product innovation through cooperative governance. A stimulus-cognition-emotion-behavior model is established to explain public voice, indicating that it is influenced by cognitive processes and public emotions under policy stimulus. What is more, as a form of public participation in cooperative governance, public voice plays a significant role in promoting policy evolution and product innovation, and represents a useful form of cooperation with governments and enterprises to jointly maintain social stability under public health emergencies.","container-title":"International Journal of Environmental Research and Public Health","DOI":"10.3390/ijerph17186840","ISSN":"1660-4601","issue":"18","journalAbbreviation":"Int J Environ Res Public Health","language":"eng","note":"PMID: 32962172\nPMCID: PMC7560018","page":"6840","source":"PubMed","title":"Public Voice via Social Media: Role in Cooperative Governance during Public Health Emergency","title-short":"Public Voice via Social Media","volume":"17","author":[{"family":"Yang","given":"Yang"},{"family":"Su","given":"Yingying"}],"issued":{"date-parts":[["2020",9,18]]}}}],"schema":"https://github.com/citation-style-language/schema/raw/master/csl-citation.json"} </w:instrText>
      </w:r>
      <w:r>
        <w:rPr>
          <w:rFonts w:ascii="Arial" w:hAnsi="Arial" w:cs="Arial"/>
          <w:sz w:val="24"/>
          <w:szCs w:val="24"/>
        </w:rPr>
        <w:fldChar w:fldCharType="separate"/>
      </w:r>
      <w:r>
        <w:rPr>
          <w:rFonts w:ascii="Arial" w:hAnsi="Arial" w:cs="Arial"/>
          <w:sz w:val="24"/>
          <w:szCs w:val="24"/>
        </w:rPr>
        <w:t>(Duberry, 2020; D. Lee et al., 2020; Suarez-Herrera et al., 2021; Yang &amp; Su, 2020)</w:t>
      </w:r>
      <w:r>
        <w:rPr>
          <w:rFonts w:ascii="Arial" w:hAnsi="Arial" w:cs="Arial"/>
          <w:sz w:val="24"/>
          <w:szCs w:val="24"/>
        </w:rPr>
        <w:fldChar w:fldCharType="end"/>
      </w:r>
      <w:r>
        <w:rPr>
          <w:rFonts w:ascii="Arial" w:hAnsi="Arial" w:cs="Arial"/>
          <w:sz w:val="24"/>
          <w:szCs w:val="24"/>
        </w:rPr>
        <w:t>.</w:t>
      </w:r>
    </w:p>
    <w:p w14:paraId="53D93AE9" w14:textId="77777777" w:rsidR="0093626A" w:rsidRDefault="0093626A" w:rsidP="005915A7">
      <w:pPr>
        <w:spacing w:after="0" w:line="360" w:lineRule="auto"/>
        <w:jc w:val="both"/>
        <w:rPr>
          <w:rFonts w:ascii="Arial" w:hAnsi="Arial" w:cs="Arial"/>
          <w:sz w:val="24"/>
          <w:szCs w:val="24"/>
        </w:rPr>
      </w:pPr>
    </w:p>
    <w:p w14:paraId="4FB5D163" w14:textId="77777777" w:rsidR="0093626A" w:rsidRDefault="00000000" w:rsidP="00634580">
      <w:pPr>
        <w:spacing w:after="0" w:line="360" w:lineRule="auto"/>
        <w:ind w:firstLine="708"/>
        <w:jc w:val="both"/>
        <w:rPr>
          <w:rFonts w:ascii="Arial" w:hAnsi="Arial" w:cs="Arial"/>
          <w:sz w:val="24"/>
          <w:szCs w:val="24"/>
        </w:rPr>
      </w:pPr>
      <w:r>
        <w:rPr>
          <w:rFonts w:ascii="Arial" w:hAnsi="Arial" w:cs="Arial"/>
          <w:sz w:val="24"/>
          <w:szCs w:val="24"/>
        </w:rPr>
        <w:t xml:space="preserve">Así pues, los investigadores en Salud Global deben mostrarse especialmente atentos a la relación entre las contribuciones de los actores locales y la constitución, a nivel internacional, de políticas de salud pública. El campo de la Salud Global encuentra así su campo de investigación y de acción en espacios de orden regional local, entidades geográficas bien definidas – como ciudades, distritos sanitarios y zonas rurales –, </w:t>
      </w:r>
      <w:r>
        <w:rPr>
          <w:rFonts w:ascii="Arial" w:hAnsi="Arial" w:cs="Arial"/>
          <w:sz w:val="24"/>
          <w:szCs w:val="24"/>
          <w:shd w:val="clear" w:color="auto" w:fill="FFFFFF" w:themeFill="background1"/>
        </w:rPr>
        <w:t>y simultáneamente de orden transnacional, en lugares muy distantes en el espacio</w:t>
      </w:r>
      <w:r>
        <w:rPr>
          <w:rFonts w:ascii="Arial" w:hAnsi="Arial" w:cs="Arial"/>
          <w:sz w:val="24"/>
          <w:szCs w:val="24"/>
        </w:rPr>
        <w:t xml:space="preserve">, pero mutuamente interconectados </w:t>
      </w:r>
      <w:r>
        <w:rPr>
          <w:rFonts w:ascii="Arial" w:hAnsi="Arial" w:cs="Arial"/>
          <w:sz w:val="24"/>
          <w:szCs w:val="24"/>
        </w:rPr>
        <w:fldChar w:fldCharType="begin"/>
      </w:r>
      <w:r>
        <w:rPr>
          <w:rFonts w:ascii="Arial" w:hAnsi="Arial" w:cs="Arial"/>
          <w:sz w:val="24"/>
          <w:szCs w:val="24"/>
        </w:rPr>
        <w:instrText xml:space="preserve"> ADDIN ZOTERO_ITEM CSL_CITATION {"citationID":"Qkwxo9Ji","properties":{"formattedCitation":"(Kickbusch, 2016; Kickbusch &amp; Reddy, 2015; Suarez-Herrera &amp; Blain, 2012)","plainCitation":"(Kickbusch, 2016; Kickbusch &amp; Reddy, 2015; Suarez-Herrera &amp; Blain, 2012)","noteIndex":0},"citationItems":[{"id":747,"uris":["http://zotero.org/users/2351503/items/AMXA34VR"],"itemData":{"id":747,"type":"article-journal","container-title":"International Journal of Health Policy and Management","DOI":"10.15171/ijhpm.2016.27","ISSN":"2322-5939","issue":"6","journalAbbreviation":"Int J Health Policy Manag","note":"PMID: 27285512\nPMCID: PMC4885725","page":"349-353","source":"PubMed Central","title":"Global Health Governance Challenges 2016 – Are We Ready?","volume":"5","author":[{"family":"Kickbusch","given":"Ilona"}],"issued":{"date-parts":[["2016",2,29]]}}},{"id":4354,"uris":["http://zotero.org/users/2351503/items/X8HQCXBX"],"itemData":{"id":4354,"type":"article-journal","abstract":"The recent Ebola crisis has re-opened the debate on global health governance and the role of the World Health Organization. In order to analyze what is at stake, we apply two conceptual approaches from the social sciences - the work on gridlock and the concept of cosmopolitan moments - to assess the ability of the multilateral governance system to reform. We find that gridlock can be broken open by a health crisis which in turn generates a political drive for change. We show that a set of cosmopolitan moments have led to the introduction of the imperative of health in a range of policy arenas and moved health into 'high politics' - this has been called a political revolution. We contend that this revolution has entered a second phase with increasing interest of heads of state in global health issues. Here lies the window of opportunity to reform global health governance.","container-title":"Public Health","DOI":"10.1016/j.puhe.2015.04.014","ISSN":"1476-5616","issue":"7","journalAbbreviation":"Public Health","language":"eng","note":"PMID: 26040216","page":"838-842","source":"PubMed","title":"Global health governance - the next political revolution","volume":"129","author":[{"family":"Kickbusch","given":"I."},{"family":"Reddy","given":"K. S."}],"issued":{"date-parts":[["2015",7]]}}},{"id":6699,"uris":["http://zotero.org/users/2351503/items/PPALZKIA"],"itemData":{"id":6699,"type":"book","collection-number":"114","event-place":"Montréal (Québec, Canada)","number-of-pages":"276","publisher":"Cahiers scientifiques de l'ACFAS","publisher-place":"Montréal (Québec, Canada)","title":"La recherche en santé mondiale : perspectives socio-anthropologiques","author":[{"family":"Suarez-Herrera","given":"José Carlos"},{"family":"Blain","given":"Marie-Jeanne"}],"issued":{"date-parts":[["2012"]]}}}],"schema":"https://github.com/citation-style-language/schema/raw/master/csl-citation.json"} </w:instrText>
      </w:r>
      <w:r>
        <w:rPr>
          <w:rFonts w:ascii="Arial" w:hAnsi="Arial" w:cs="Arial"/>
          <w:sz w:val="24"/>
          <w:szCs w:val="24"/>
        </w:rPr>
        <w:fldChar w:fldCharType="separate"/>
      </w:r>
      <w:r>
        <w:rPr>
          <w:rFonts w:ascii="Arial" w:hAnsi="Arial" w:cs="Arial"/>
          <w:sz w:val="24"/>
          <w:szCs w:val="24"/>
        </w:rPr>
        <w:t>(Kickbusch, 2016; Kickbusch &amp; Reddy, 2015; Suarez-Herrera &amp; Blain, 2012)</w:t>
      </w:r>
      <w:r>
        <w:rPr>
          <w:rFonts w:ascii="Arial" w:hAnsi="Arial" w:cs="Arial"/>
          <w:sz w:val="24"/>
          <w:szCs w:val="24"/>
        </w:rPr>
        <w:fldChar w:fldCharType="end"/>
      </w:r>
      <w:r>
        <w:rPr>
          <w:rFonts w:ascii="Arial" w:hAnsi="Arial" w:cs="Arial"/>
          <w:sz w:val="24"/>
          <w:szCs w:val="24"/>
        </w:rPr>
        <w:t>.</w:t>
      </w:r>
    </w:p>
    <w:p w14:paraId="0D2EAD84" w14:textId="77777777" w:rsidR="0093626A" w:rsidRPr="00634580" w:rsidRDefault="00000000" w:rsidP="005915A7">
      <w:pPr>
        <w:pStyle w:val="Ttulo1"/>
        <w:spacing w:before="120" w:after="120" w:line="360" w:lineRule="auto"/>
        <w:jc w:val="both"/>
        <w:rPr>
          <w:rFonts w:ascii="Arial" w:hAnsi="Arial" w:cs="Arial"/>
          <w:b/>
          <w:bCs/>
          <w:color w:val="auto"/>
          <w:sz w:val="24"/>
          <w:szCs w:val="24"/>
        </w:rPr>
      </w:pPr>
      <w:r w:rsidRPr="00634580">
        <w:rPr>
          <w:rFonts w:ascii="Arial" w:hAnsi="Arial" w:cs="Arial"/>
          <w:b/>
          <w:bCs/>
          <w:color w:val="auto"/>
          <w:sz w:val="24"/>
          <w:szCs w:val="24"/>
        </w:rPr>
        <w:t>La investigación colaborativa en el campo de la Salud Global</w:t>
      </w:r>
    </w:p>
    <w:p w14:paraId="52C35FAB" w14:textId="77777777" w:rsidR="0093626A" w:rsidRDefault="00000000" w:rsidP="005915A7">
      <w:pPr>
        <w:spacing w:after="0" w:line="360" w:lineRule="auto"/>
        <w:jc w:val="both"/>
        <w:rPr>
          <w:rFonts w:ascii="Arial" w:hAnsi="Arial" w:cs="Arial"/>
          <w:sz w:val="24"/>
          <w:szCs w:val="24"/>
        </w:rPr>
      </w:pPr>
      <w:r>
        <w:rPr>
          <w:rFonts w:ascii="Arial" w:hAnsi="Arial" w:cs="Arial"/>
          <w:sz w:val="24"/>
          <w:szCs w:val="24"/>
        </w:rPr>
        <w:t xml:space="preserve">La Salud Global se perfila actualmente como un campo complejo de investigación y de acción que intenta responder a desafíos sociosanitarios internacionales, y esto, </w:t>
      </w:r>
      <w:r>
        <w:rPr>
          <w:rFonts w:ascii="Arial" w:hAnsi="Arial" w:cs="Arial"/>
          <w:sz w:val="24"/>
          <w:szCs w:val="24"/>
        </w:rPr>
        <w:lastRenderedPageBreak/>
        <w:t xml:space="preserve">tomando en consideración las múltiples manifestaciones de acción sociosanitaria que se observan localmente. Por lo tanto, tratar de comprender las dinámicas de los actores locales, así como el proceso de articulación de nuevas prácticas de investigación en un contexto globalizado de complejidad y diversidad cultural resulta de gran interés. La idea de establecer un observatorio internacional de prácticas sociosanitarias se sitúa en el centro de los procesos de desarrollo de políticas internacionales de salud públicas, especialmente desde la última crisis sociosanitaria asociada a la COVID-19 </w:t>
      </w:r>
      <w:r>
        <w:rPr>
          <w:rFonts w:ascii="Arial" w:hAnsi="Arial" w:cs="Arial"/>
          <w:sz w:val="24"/>
          <w:szCs w:val="24"/>
        </w:rPr>
        <w:fldChar w:fldCharType="begin"/>
      </w:r>
      <w:r>
        <w:rPr>
          <w:rFonts w:ascii="Arial" w:hAnsi="Arial" w:cs="Arial"/>
          <w:sz w:val="24"/>
          <w:szCs w:val="24"/>
        </w:rPr>
        <w:instrText xml:space="preserve"> ADDIN ZOTERO_ITEM CSL_CITATION {"citationID":"pS9ffdS3","properties":{"formattedCitation":"(Lackie et al., 2020; Sentell et al., 2020; Zhang et al., 2020)","plainCitation":"(Lackie et al., 2020; Sentell et al., 2020; Zhang et al., 2020)","noteIndex":0},"citationItems":[{"id":8377,"uris":["http://zotero.org/users/2351503/items/BV8BTN2Q"],"itemData":{"id":8377,"type":"article-journal","container-title":"Journal of Interprofessional Care","DOI":"10.1080/13561820.2020.1807481","ISSN":"1356-1820","issue":"5","note":"PMID: 32838595","page":"583-586","source":"Taylor and Francis+NEJM","title":"Interprofessional education and collaborative practice research during the COVID-19 pandemic: Considerations to advance the field","title-short":"Interprofessional education and collaborative practice research during the COVID-19 pandemic","volume":"34","author":[{"family":"Lackie","given":"Kelly"},{"family":"Najjar","given":"Ghaidaa"},{"family":"El-Awaisi","given":"Alla"},{"family":"Frost","given":"Jody"},{"family":"Green","given":"Chris"},{"family":"Langlois","given":"Sylvia"},{"family":"Lising","given":"Dean"},{"family":"Pfeifle","given":"Andrea L."},{"family":"Ward","given":"Helena"},{"family":"Xyrichis","given":"Andreas"},{"family":"Khalili","given":"Hossein"}],"issued":{"date-parts":[["2020",9,2]]}}},{"id":21727,"uris":["http://zotero.org/users/2351503/items/6UQMYITF"],"itemData":{"id":21727,"type":"article-journal","abstract":"As we write our editorial for a health literacy special issue in the midst of the international COVID-19 crisis, we take this opportunity to highlight the importance of individual, community, and population health literacy. We are not only in a “pandemic” but also an “infodemic”. Health literacy is more important than ever in the face of these global health threats, which have impacted outcomes across the levels of the socio-ecological model (SEM), including individual health behaviors, family relationships, organizational behavior, state policy-making, national mortality statistics, and the international economy in the span of weeks. Our special issue sought to pull together interdisciplinary threads guided by two principles. The first was defining health literacy as essential skills and situational resources needed for people to find, understand, evaluate, communicate, and use information and services in a variety of forms across various settings throughout their life course to promote health and wellbeing. The second was the idea that enhancing health literacy in populations and systems is critical to achieving health equity. In this time of public health need across traditional borders, the inter-sectoral and international perspectives of special issue articles are more urgent than ever. A greater understanding, appreciation, and application of health literacy can support policy action on multiple levels to address major public health challenges. Health literacy should be built deliberately as a population-level resource and community asset. We have summarized the set of articles in this special issue across the levels of the SEM, hoping their thoughtful considerations and interesting findings will help to support global health and wellness and inspire future research, policy, and practice in this global public health emergency and beyond.","container-title":"International Journal of Environmental Research and Public Health","DOI":"10.3390/ijerph17093010","ISSN":"1660-4601","issue":"9","language":"en","license":"http://creativecommons.org/licenses/by/3.0/","note":"number: 9\npublisher: Multidisciplinary Digital Publishing Institute","page":"3010","source":"www.mdpi.com","title":"Interdisciplinary Perspectives on Health Literacy Research Around the World: More Important Than Ever in a Time of COVID-19","title-short":"Interdisciplinary Perspectives on Health Literacy Research Around the World","volume":"17","author":[{"family":"Sentell","given":"Tetine"},{"family":"Vamos","given":"Sandra"},{"family":"Okan","given":"Orkan"}],"issued":{"date-parts":[["2020",1]]}}},{"id":7046,"uris":["http://zotero.org/users/2351503/items/G3HNEEQL"],"itemData":{"id":7046,"type":"article-journal","abstract":"Drawing on data from Zhejiang Province, this study explores China’s collaborative response to COVID-19 in which business associations played a critical role. Consistent with existing literature on cross-sector collaboration and nonprofit contributions in extreme events, the preliminary findings of this study carry significant implications for future research to advance new knowledge. Specifically, two important next steps of future research that hold considerable promise—examining the overwhelming impact of the institutional environment on collaboration and accounting for the complex mechanisms in which multiple components of collaboration create outcomes through a configurational approach—emerged from this study. In addition, the practical implications of these findings are highlighted.","container-title":"Nonprofit and Voluntary Sector Quarterly","DOI":"10.1177/0899764020964591","ISSN":"0899-7640","journalAbbreviation":"Nonprofit and Voluntary Sector Quarterly","language":"en","page":"0899764020964591","source":"SAGE Journals","title":"Combating COVID-19 Together: China’s Collaborative Response and the Role of Business Associations","title-short":"Combating COVID-19 Together","author":[{"family":"Zhang","given":"Zhibin"},{"family":"Shen","given":"Yongdong"},{"family":"Yu","given":"Jianxing"}],"issued":{"date-parts":[["2020",10,13]]}}}],"schema":"https://github.com/citation-style-language/schema/raw/master/csl-citation.json"} </w:instrText>
      </w:r>
      <w:r>
        <w:rPr>
          <w:rFonts w:ascii="Arial" w:hAnsi="Arial" w:cs="Arial"/>
          <w:sz w:val="24"/>
          <w:szCs w:val="24"/>
        </w:rPr>
        <w:fldChar w:fldCharType="separate"/>
      </w:r>
      <w:r>
        <w:rPr>
          <w:rFonts w:ascii="Arial" w:hAnsi="Arial" w:cs="Arial"/>
          <w:sz w:val="24"/>
          <w:szCs w:val="24"/>
        </w:rPr>
        <w:t>(Lackie et al., 2020; Sentell et al., 2020; Zhang et al., 2020)</w:t>
      </w:r>
      <w:r>
        <w:rPr>
          <w:rFonts w:ascii="Arial" w:hAnsi="Arial" w:cs="Arial"/>
          <w:sz w:val="24"/>
          <w:szCs w:val="24"/>
        </w:rPr>
        <w:fldChar w:fldCharType="end"/>
      </w:r>
      <w:r>
        <w:rPr>
          <w:rFonts w:ascii="Arial" w:hAnsi="Arial" w:cs="Arial"/>
          <w:sz w:val="24"/>
          <w:szCs w:val="24"/>
        </w:rPr>
        <w:t xml:space="preserve">. Esto nos muestra claramente la importancia de establecer una agenda transnacional en el campo de la Salud Global centrada en la </w:t>
      </w:r>
      <w:r>
        <w:rPr>
          <w:rFonts w:ascii="Arial" w:hAnsi="Arial" w:cs="Arial"/>
          <w:i/>
          <w:iCs/>
          <w:sz w:val="24"/>
          <w:szCs w:val="24"/>
        </w:rPr>
        <w:t>investigación colaborativa</w:t>
      </w: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 ADDIN ZOTERO_ITEM CSL_CITATION {"citationID":"rYUtiMCB","properties":{"formattedCitation":"(Lawrence &amp; Hirsch, 2020; Nagi et al., 2020; Roebbel et al., 2022)","plainCitation":"(Lawrence &amp; Hirsch, 2020; Nagi et al., 2020; Roebbel et al., 2022)","noteIndex":0},"citationItems":[{"id":7546,"uris":["http://zotero.org/users/2351503/items/U7MF85CQ"],"itemData":{"id":7546,"type":"article-journal","abstract":"There are increasing calls to decolonise aspects of science, and global health is no exception. The decolonising global health movement acknowledges that global health research perpetuates existing power imbalances and aims to identify concrete ways in which global health teaching and research can overcome its colonial past and present. Using the context of clinical trials implemented through transnational research partnerships (TRPs) as a case study, this narrative review brings together perspectives from clinical research and social science to lay out specific ways in which TRPs build on and perpetuate colonial power relations. We will explore three core components of TRPs: participant experience, expertise and infrastructure, and authorship. By combining a critical perspective with recently published literature we will recommend specific ways in which TRPs can be decolonised. We conclude by discussing decolonising global health as a potential practice and object of research. By doing this we intend to frame the decolonising global health movement as one that is accessible to everyone and within which we can all play an active role.","container-title":"International Health","DOI":"10.1093/inthealth/ihaa073","issue":"6","journalAbbreviation":"Int Health","language":"en","page":"518-523","source":"academic.oup.com","title":"Decolonising global health: transnational research partnerships under the spotlight","title-short":"Decolonising global health","volume":"12","author":[{"family":"Lawrence","given":"David S."},{"family":"Hirsch","given":"Lioba A."}],"issued":{"date-parts":[["2020",11,9]]}}},{"id":8920,"uris":["http://zotero.org/users/2351503/items/SXFKA5RU"],"itemData":{"id":8920,"type":"article-journal","abstract":"Background\nMany countries are currently rethinking their global health research funding priorities. When resources are limited, it is important to understand and use information about existing research strengths to inform research strategies and investments and to drive impact. This study describes a method to rapidly assess a country’s global health research expertise and applies this method in the Canadian context.\n\nMethods\nWe developed a three-pronged rapid environmental scan to evaluate Canadian global health research expertise that focused on research funding inputs, research activities and research outputs. We assessed research funding inputs from Canada’s national health research funding agency and identified the 30 Canadian universities that received the most global health research funding. We systematically searched university websites and secondary databases to identify research activities, including research centres, research chairs and research training programmes. To evaluate research outputs, we searched PubMed to identify global health research publications by Canadian university-affiliated researchers. We used these three perspectives to develop a more nuanced understanding of Canadian strengths in global health research from different perspectives.\n\nResults\nCanada’s main global health research funder, the Canadian Institutes of Health Research, invested a total of $314 M from 2000 to 2016 on global health research grants. This investment has contributed to Canada’s wealth of global health research expertise, including 12 training programmes, 27 Canada Research Chairs, 6 research centres and 30 WHO Collaborating Centres across 27 universities. Research activities were concentrated in Canada’s biggest cities and most commonly focused on health equity and globalisation issues. Canadian-affiliated researchers have contributed to a research output of 822 unique publications on PubMed. There is an opportunity to build global health expertise in regions not already concentrated with research activity, focusing on transnational risks and neglected conditions research.\n\nConclusions\nOur three-pronged approach allowed us to rapidly identify clear geographic and substantive areas of strength in Canadian global health research, including urban regions and research focused on health equity and globalisation topics. This information can be used to support research policy directives, including to inform a Canadian global health research strategy, and to allow relevant academic institutions and funding organisations to make more strategic decisions regarding their future investments.","container-title":"Health Research Policy and Systems","DOI":"10.1186/s12961-020-0543-x","ISSN":"1478-4505","journalAbbreviation":"Health Res Policy Syst","note":"PMID: 32272941\nPMCID: PMC7146898","page":"37","source":"PubMed Central","title":"Using a rapid environmental scan methodology to map country-level global health research expertise in Canada","volume":"18","author":[{"family":"Nagi","given":"Ranjana"},{"family":"Rogers Van Katwyk","given":"Susan"},{"family":"Hoffman","given":"Steven J."}],"issued":{"date-parts":[["2020",4,9]]}}},{"id":8924,"uris":["http://zotero.org/users/2351503/items/Q3KPN3FR"],"itemData":{"id":8924,"type":"article-journal","container-title":"Bulletin of the World Health Organization","DOI":"10.2471/BLT.22.289135","ISSN":"0042-9686","issue":"12","journalAbbreviation":"Bull World Health Organ","note":"PMID: null\nPMCID: PMC9706356","page":"750-750A","source":"PubMed Central","title":"Global research priorities for urban health","volume":"100","author":[{"family":"Roebbel","given":"Nathalie"},{"family":"Sa","given":"Thiago Herick","non-dropping-particle":"de"},{"family":"Neira","given":"Maria"},{"family":"Krug","given":"Etienne"}],"issued":{"date-parts":[["2022",12,1]]}}}],"schema":"https://github.com/citation-style-language/schema/raw/master/csl-citation.json"} </w:instrText>
      </w:r>
      <w:r>
        <w:rPr>
          <w:rFonts w:ascii="Arial" w:hAnsi="Arial" w:cs="Arial"/>
          <w:sz w:val="24"/>
          <w:szCs w:val="24"/>
        </w:rPr>
        <w:fldChar w:fldCharType="separate"/>
      </w:r>
      <w:r>
        <w:rPr>
          <w:rFonts w:ascii="Arial" w:hAnsi="Arial" w:cs="Arial"/>
          <w:sz w:val="24"/>
          <w:szCs w:val="24"/>
        </w:rPr>
        <w:t>(Lawrence &amp; Hirsch, 2020; Nagi et al., 2020; Roebbel et al., 2022)</w:t>
      </w:r>
      <w:r>
        <w:rPr>
          <w:rFonts w:ascii="Arial" w:hAnsi="Arial" w:cs="Arial"/>
          <w:sz w:val="24"/>
          <w:szCs w:val="24"/>
        </w:rPr>
        <w:fldChar w:fldCharType="end"/>
      </w:r>
      <w:r>
        <w:rPr>
          <w:rFonts w:ascii="Arial" w:hAnsi="Arial" w:cs="Arial"/>
          <w:sz w:val="24"/>
          <w:szCs w:val="24"/>
        </w:rPr>
        <w:t>.</w:t>
      </w:r>
    </w:p>
    <w:p w14:paraId="2C39FE3C" w14:textId="77777777" w:rsidR="0093626A" w:rsidRDefault="00000000" w:rsidP="005915A7">
      <w:pPr>
        <w:spacing w:after="0" w:line="360" w:lineRule="auto"/>
        <w:jc w:val="both"/>
        <w:rPr>
          <w:rFonts w:ascii="Arial" w:hAnsi="Arial" w:cs="Arial"/>
          <w:sz w:val="24"/>
          <w:szCs w:val="24"/>
        </w:rPr>
      </w:pPr>
      <w:r>
        <w:rPr>
          <w:rFonts w:ascii="Arial" w:hAnsi="Arial" w:cs="Arial"/>
          <w:sz w:val="24"/>
          <w:szCs w:val="24"/>
        </w:rPr>
        <w:t xml:space="preserve">Históricamente, se han ido integrando diferentes enfoques colaborativos en la investigación en salud pública. Así, podemos encontrar ejemplos de investigación aplicada en el sector de la salud pública, tales como la investigación basada en la comunidad </w:t>
      </w:r>
      <w:r>
        <w:rPr>
          <w:rFonts w:ascii="Arial" w:hAnsi="Arial" w:cs="Arial"/>
          <w:sz w:val="24"/>
          <w:szCs w:val="24"/>
        </w:rPr>
        <w:fldChar w:fldCharType="begin"/>
      </w:r>
      <w:r>
        <w:rPr>
          <w:rFonts w:ascii="Arial" w:hAnsi="Arial" w:cs="Arial"/>
          <w:sz w:val="24"/>
          <w:szCs w:val="24"/>
        </w:rPr>
        <w:instrText xml:space="preserve"> ADDIN ZOTERO_ITEM CSL_CITATION {"citationID":"rEIcQ72i","properties":{"formattedCitation":"(Green et al., 2001; Minkler, 2005)","plainCitation":"(Green et al., 2001; Minkler, 2005)","noteIndex":0},"citationItems":[{"id":532,"uris":["http://zotero.org/users/2351503/items/W82NNLMQ"],"itemData":{"id":532,"type":"article-journal","container-title":"Public Health Reports","ISSN":"0033-3549","issue":"Suppl 1","journalAbbreviation":"Public Health Rep","note":"PMID: 11889272\nPMCID: PMC1913672","page":"20-31","source":"PubMed Central","title":"Partnerships and coalitions for community-based research.","volume":"116","author":[{"family":"Green","given":"L."},{"family":"Daniel","given":"M."},{"family":"Novick","given":"L."}],"issued":{"date-parts":[["2001"]]}},"label":"page"},{"id":6904,"uris":["http://zotero.org/users/2351503/items/SFAG9R4V"],"itemData":{"id":6904,"type":"article-journal","abstract":"The complexity of many urban health problems often makes them ill suited to traditional research approaches and interventions. The resultant frustration, together with community calls for genuine partnership in the research process, has highlighted the importance of an alternative paradigm. Community-based participatory research (CBPR) is presented as a promising collaborative approach that combines systematic inquiry, participation, and action to address urban health problems. Following a brief review of its basic tenets and historical roots, key ways in which CBPR adds value to urban health research are introduced and illustrated. Case study examples from diverse international settings are used to illustrate some of the difficult ethical challenges that may arise in the course of CBPR partnership approaches. The concepts of partnership synergy and cultural humility, together with protocols such as Green et al.’s guidelines for appraising CBPR projects, are highlighted as useful tools for urban health researchers seeking to apply this collaborative approach and to deal effectively with the difficult ethical challenges it can present.","container-title":"Journal of Urban Health","DOI":"10.1093/jurban/jti034","ISSN":"1468-2869","issue":"2","journalAbbreviation":"J Urban Health","language":"en","page":"ii3-ii12","source":"Springer Link","title":"Community-based research partnerships: Challenges and opportunities","title-short":"Community-based research partnerships","volume":"82","author":[{"family":"Minkler","given":"Meredith"}],"issued":{"date-parts":[["2005",6,1]]}}}],"schema":"https://github.com/citation-style-language/schema/raw/master/csl-citation.json"} </w:instrText>
      </w:r>
      <w:r>
        <w:rPr>
          <w:rFonts w:ascii="Arial" w:hAnsi="Arial" w:cs="Arial"/>
          <w:sz w:val="24"/>
          <w:szCs w:val="24"/>
        </w:rPr>
        <w:fldChar w:fldCharType="separate"/>
      </w:r>
      <w:r>
        <w:rPr>
          <w:rFonts w:ascii="Arial" w:hAnsi="Arial" w:cs="Arial"/>
          <w:sz w:val="24"/>
          <w:szCs w:val="24"/>
        </w:rPr>
        <w:t>(Green et al., 2001; Minkler, 2005)</w:t>
      </w:r>
      <w:r>
        <w:rPr>
          <w:rFonts w:ascii="Arial" w:hAnsi="Arial" w:cs="Arial"/>
          <w:sz w:val="24"/>
          <w:szCs w:val="24"/>
        </w:rPr>
        <w:fldChar w:fldCharType="end"/>
      </w:r>
      <w:r>
        <w:rPr>
          <w:rFonts w:ascii="Arial" w:hAnsi="Arial" w:cs="Arial"/>
          <w:sz w:val="24"/>
          <w:szCs w:val="24"/>
        </w:rPr>
        <w:t xml:space="preserve">, la investigación participativa </w:t>
      </w:r>
      <w:r>
        <w:rPr>
          <w:rFonts w:ascii="Arial" w:hAnsi="Arial" w:cs="Arial"/>
          <w:sz w:val="24"/>
          <w:szCs w:val="24"/>
        </w:rPr>
        <w:fldChar w:fldCharType="begin"/>
      </w:r>
      <w:r>
        <w:rPr>
          <w:rFonts w:ascii="Arial" w:hAnsi="Arial" w:cs="Arial"/>
          <w:sz w:val="24"/>
          <w:szCs w:val="24"/>
        </w:rPr>
        <w:instrText xml:space="preserve"> ADDIN ZOTERO_ITEM CSL_CITATION {"citationID":"qSnsPBZa","properties":{"formattedCitation":"(Bourke, 2009; Cargo &amp; Mercer, 2008; Suarez-Herrera et al., 2013)","plainCitation":"(Bourke, 2009; Cargo &amp; Mercer, 2008; Suarez-Herrera et al., 2013)","noteIndex":0},"citationItems":[{"id":6457,"uris":["http://zotero.org/users/2351503/items/DDDXAPEH"],"itemData":{"id":6457,"type":"article-journal","abstract":"The author has reflected on her experience in facilitating three participatory research (PR) projects to identify key issues surrounding participation, method and power. The three PR projects in health, all undertaken in the same region in southeast Australia, assessed the needs of women who have experienced breast cancer, evaluated an Indigenous healthy lifestyle programme and developed and documented a model of coordinated care by a consumer group. In particular, the three participatory projects suggested that participants do not always want to maximise their own participation and may prefer external researcher involvement – relationships, confidentiality, anonymity and time</w:instrText>
      </w:r>
      <w:r w:rsidRPr="00634580">
        <w:rPr>
          <w:rFonts w:ascii="Arial" w:hAnsi="Arial" w:cs="Arial"/>
          <w:sz w:val="24"/>
          <w:szCs w:val="24"/>
        </w:rPr>
        <w:instrText>‐</w:instrText>
      </w:r>
      <w:r>
        <w:rPr>
          <w:rFonts w:ascii="Arial" w:hAnsi="Arial" w:cs="Arial"/>
          <w:sz w:val="24"/>
          <w:szCs w:val="24"/>
        </w:rPr>
        <w:instrText>impacted perspectives of participation. In one study, quantitative methods were selected and time and previous knowledge of research shaped participants' selection of method. In the projects, power relations were complex and issues of negotiation, inclusion, quality of research, agendas, roles and integrity are discussed. The lessons learned here are that participatory researchers can be open to differing levels of participation and methods while also comfortable with sharing decision</w:instrText>
      </w:r>
      <w:r w:rsidRPr="00634580">
        <w:rPr>
          <w:rFonts w:ascii="Arial" w:hAnsi="Arial" w:cs="Arial"/>
          <w:sz w:val="24"/>
          <w:szCs w:val="24"/>
        </w:rPr>
        <w:instrText>‐</w:instrText>
      </w:r>
      <w:r>
        <w:rPr>
          <w:rFonts w:ascii="Arial" w:hAnsi="Arial" w:cs="Arial"/>
          <w:sz w:val="24"/>
          <w:szCs w:val="24"/>
        </w:rPr>
        <w:instrText xml:space="preserve">making in research, even if it alters the research outcome.","container-title":"International Journal of Social Research Methodology","DOI":"10.1080/13645570802373676","ISSN":"1364-5579","issue":"5","page":"457-474","source":"Taylor and Francis+NEJM","title":"Reflections on doing participatory research in health: participation, method and power","title-short":"Reflections on doing participatory research in health","volume":"12","author":[{"family":"Bourke","given":"Lisa"}],"issued":{"date-parts":[["2009",12,1]]}}},{"id":22214,"uris":["http://zotero.org/users/2351503/items/A5MKPPLX"],"itemData":{"id":22214,"type":"article-journal","abstract":"The increasing use of participatory research (PR) approaches to address pressing public health issues reflects PR's potential for bridging gaps between research and practice, addressing social and environmental justice and enabling people to gain control over determinants of their health. Our critical review of the PR literature culminates in the development of an integrative practice framework that features five essential domains and provides a structured process for developing and maintaining PR partnerships, designing and implementing PR efforts, and evaluating the intermediate and long-term outcomes of descriptive, etiological, and intervention PR studies. We review the empirical and nonempirical literature in the context of this practice framework to distill the key challenges and added value of PR. Advances to the practice of PR over the next decade will require establishing the effectiveness of PR in achieving health outcomes and linking PR practices, processes, and core elements to health outcomes.","container-title":"Annual Review of Public Health","DOI":"10.1146/annurev.publhealth.29.091307.083824","issue":"1","note":"_eprint: https://doi.org/10.1146/annurev.publhealth.29.091307.083824\nPMID: 18173388","page":"325-350","source":"Annual Reviews","title":"The Value and Challenges of Participatory Research: Strengthening Its Practice","title-short":"The Value and Challenges of Participatory Research","volume":"29","author":[{"family":"Cargo","given":"Margaret"},{"family":"Mercer","given":"Shawna L."}],"issued":{"date-parts":[["2008"]]}}},{"id":7192,"uris":["http://zotero.org/users/2351503/items/A6ZB5P44"],"itemData":{"id":7192,"type":"article-journal","abstract":"À la lumière des fondements conceptuels de la « théorie de l’acteur-réseau » (Callon, 1986; Latour, 2005), cet article développe une perspective innovatrice sur la pratique de la recherche participative en CSSS-CAU. Pour ce faire, nous montrerons comment certaines pratiques participatives associées à la recherche s’organisent graduellement sous forme de réseaux innovateurs de traduction des savoirs. Le cas du partenariat ARIMA, mis en oeuvre au Québec par le Centre de recherche et de partage des savoirs InterActions, servira d’illustration. La configuration partenariale de ce réseau est associée à de nombreuses traductions potentiellement transformatrices, ce qui lui donne une perspective de recherche innovatrice qui se construit dans un contexte complexe de mobilisation des savoirs intersectoriels.","container-title":"Nouvelles pratiques sociales","DOI":"https://doi.org/10.7202/1020822ar","ISSN":"0843-4468, 1703-9312","issue":"2","journalAbbreviation":"nps","language":"fr","page":"73-88","source":"www.erudit.org","title":"La recherche participative en CSSS-CAU : le cas du partenariat ARIMA comme réseau innovateur de traduction des savoirs","title-short":"La recherche participative en CSSS-CAU","volume":"25","author":[{"family":"Suarez-Herrera","given":"José Carlos"},{"family":"White","given":"Deena"},{"family":"Battaglini","given":"Alex"}],"issued":{"date-parts":[["2013"]]}}}],"schema":"https://github.com/citation-style-language/schema/raw/master/csl-citation.json"} </w:instrText>
      </w:r>
      <w:r>
        <w:rPr>
          <w:rFonts w:ascii="Arial" w:hAnsi="Arial" w:cs="Arial"/>
          <w:sz w:val="24"/>
          <w:szCs w:val="24"/>
        </w:rPr>
        <w:fldChar w:fldCharType="separate"/>
      </w:r>
      <w:r>
        <w:rPr>
          <w:rFonts w:ascii="Arial" w:hAnsi="Arial" w:cs="Arial"/>
          <w:sz w:val="24"/>
          <w:szCs w:val="24"/>
        </w:rPr>
        <w:t>(Bourke, 2009; Cargo &amp; Mercer, 2008; Suarez-Herrera et al., 2013)</w:t>
      </w:r>
      <w:r>
        <w:rPr>
          <w:rFonts w:ascii="Arial" w:hAnsi="Arial" w:cs="Arial"/>
          <w:sz w:val="24"/>
          <w:szCs w:val="24"/>
        </w:rPr>
        <w:fldChar w:fldCharType="end"/>
      </w:r>
      <w:r>
        <w:rPr>
          <w:rFonts w:ascii="Arial" w:hAnsi="Arial" w:cs="Arial"/>
          <w:sz w:val="24"/>
          <w:szCs w:val="24"/>
        </w:rPr>
        <w:t xml:space="preserve">, la investigación-acción </w:t>
      </w:r>
      <w:r>
        <w:rPr>
          <w:rFonts w:ascii="Arial" w:hAnsi="Arial" w:cs="Arial"/>
          <w:sz w:val="24"/>
          <w:szCs w:val="24"/>
        </w:rPr>
        <w:fldChar w:fldCharType="begin"/>
      </w:r>
      <w:r>
        <w:rPr>
          <w:rFonts w:ascii="Arial" w:hAnsi="Arial" w:cs="Arial"/>
          <w:sz w:val="24"/>
          <w:szCs w:val="24"/>
        </w:rPr>
        <w:instrText xml:space="preserve"> ADDIN ZOTERO_ITEM CSL_CITATION {"citationID":"ymHVoLy5","properties":{"formattedCitation":"(Reason &amp; Bradbury, 2001, 2008)","plainCitation":"(Reason &amp; Bradbury, 2001, 2008)","noteIndex":0},"citationItems":[{"id":1870,"uris":["http://zotero.org/users/2351503/items/2RVMUGQS"],"itemData":{"id":1870,"type":"book","title":"Handbook of Action Research: Participative Inquiry and Practice","URL":"https://www.amazon.ca/Handbook-Action-Research-Participative-Practice/dp/0761966455","author":[{"family":"Reason","given":"Peter"},{"family":"Bradbury","given":"Hilary"}],"accessed":{"date-parts":[["2017",8,24]]},"issued":{"date-parts":[["2001"]]}}},{"id":6443,"uris":["http://zotero.org/users/2351503/items/GBR62N2W"],"itemData":{"id":6443,"type":"book","abstract":"This handbook has been updated to bring chapters in line with the latest qualitative and quantitative approaches in this field of social inquiry. Peter Reason and Hilary Bradbury have introduced new part commentaries that draw links between different contributions and show their interrelations.","event-place":"Los Angeles, Calif.; London","ISBN":"978-1-4129-2029-2","language":"English","note":"OCLC: 155685708","publisher":"SAGE","publisher-place":"Los Angeles, Calif.; London","source":"Open WorldCat","title":"The SAGE handbook of action research: participative inquiry and practice","title-short":"The SAGE handbook of action research","author":[{"family":"Reason","given":"Peter"},{"family":"Bradbury","given":"Hilary"}],"issued":{"date-parts":[["2008"]]}}}],"schema":"https://github.com/citation-style-language/schema/raw/master/csl-citation.json"} </w:instrText>
      </w:r>
      <w:r>
        <w:rPr>
          <w:rFonts w:ascii="Arial" w:hAnsi="Arial" w:cs="Arial"/>
          <w:sz w:val="24"/>
          <w:szCs w:val="24"/>
        </w:rPr>
        <w:fldChar w:fldCharType="separate"/>
      </w:r>
      <w:r>
        <w:rPr>
          <w:rFonts w:ascii="Arial" w:hAnsi="Arial" w:cs="Arial"/>
          <w:sz w:val="24"/>
          <w:szCs w:val="24"/>
        </w:rPr>
        <w:t>(Reason &amp; Bradbury, 2001, 2008)</w:t>
      </w:r>
      <w:r>
        <w:rPr>
          <w:rFonts w:ascii="Arial" w:hAnsi="Arial" w:cs="Arial"/>
          <w:sz w:val="24"/>
          <w:szCs w:val="24"/>
        </w:rPr>
        <w:fldChar w:fldCharType="end"/>
      </w:r>
      <w:r>
        <w:rPr>
          <w:rFonts w:ascii="Arial" w:hAnsi="Arial" w:cs="Arial"/>
          <w:sz w:val="24"/>
          <w:szCs w:val="24"/>
        </w:rPr>
        <w:t xml:space="preserve">, la investigación-acción participativa </w:t>
      </w:r>
      <w:r>
        <w:rPr>
          <w:rFonts w:ascii="Arial" w:hAnsi="Arial" w:cs="Arial"/>
          <w:sz w:val="24"/>
          <w:szCs w:val="24"/>
        </w:rPr>
        <w:fldChar w:fldCharType="begin"/>
      </w:r>
      <w:r>
        <w:rPr>
          <w:rFonts w:ascii="Arial" w:hAnsi="Arial" w:cs="Arial"/>
          <w:sz w:val="24"/>
          <w:szCs w:val="24"/>
        </w:rPr>
        <w:instrText xml:space="preserve"> ADDIN ZOTERO_ITEM CSL_CITATION {"citationID":"ZcSRCcly","properties":{"formattedCitation":"(Ampartzaki et al., 2013)","plainCitation":"(Ampartzaki et al., 2013)","noteIndex":0},"citationItems":[{"id":6475,"uris":["http://zotero.org/users/2351503/items/CP2PCGWW"],"itemData":{"id":6475,"type":"article-journal","abstract":"This study explores the integration of two key ideas and working frameworks: a community of educational practice formed by the synergy between a natural history museum and a university department of pre-school education, which undertook participatory action research aimed at the creation of innovative museum programmes for young children. Data analysis and the evaluation of the research process show that the community was able to bring its situated knowledge into question and interrogate propositional knowledge by means of re-evaluating the learning targets, the nature of children’s activity, the nature of interaction between adults and learners, and the nature of resources used in existing and newly designed programmes offered to young children. Participatory action research enabled the community to monitor the implementation of theory with scientific rigour and formulate a new ‘knowledge strategy’, which in theoretical terms will guide future developments.","container-title":"Educational Action Research","DOI":"10.1080/09650792.2013.761920","ISSN":"0965-0792","issue":"1","page":"4-27","source":"Taylor and Francis+NEJM","title":"Communities of practice and participatory action research: the formation of a synergy for the development of museum programmes for early childhood","title-short":"Communities of practice and participatory action research","volume":"21","author":[{"family":"Ampartzaki","given":"Maria"},{"family":"Kypriotaki","given":"Maria"},{"family":"Voreadou","given":"Catherine"},{"family":"Dardioti","given":"Antonia"},{"family":"Stathi","given":"Iasmi"}],"issued":{"date-parts":[["2013",3,1]]}}}],"schema":"https://github.com/citation-style-language/schema/raw/master/csl-citation.json"} </w:instrText>
      </w:r>
      <w:r>
        <w:rPr>
          <w:rFonts w:ascii="Arial" w:hAnsi="Arial" w:cs="Arial"/>
          <w:sz w:val="24"/>
          <w:szCs w:val="24"/>
        </w:rPr>
        <w:fldChar w:fldCharType="separate"/>
      </w:r>
      <w:r>
        <w:rPr>
          <w:rFonts w:ascii="Arial" w:hAnsi="Arial" w:cs="Arial"/>
          <w:sz w:val="24"/>
          <w:szCs w:val="24"/>
        </w:rPr>
        <w:t>(Ampartzaki et al., 2013)</w:t>
      </w:r>
      <w:r>
        <w:rPr>
          <w:rFonts w:ascii="Arial" w:hAnsi="Arial" w:cs="Arial"/>
          <w:sz w:val="24"/>
          <w:szCs w:val="24"/>
        </w:rPr>
        <w:fldChar w:fldCharType="end"/>
      </w:r>
      <w:r>
        <w:rPr>
          <w:rFonts w:ascii="Arial" w:hAnsi="Arial" w:cs="Arial"/>
          <w:sz w:val="24"/>
          <w:szCs w:val="24"/>
        </w:rPr>
        <w:t xml:space="preserve">, la evaluación participativa </w:t>
      </w:r>
      <w:r>
        <w:rPr>
          <w:rFonts w:ascii="Arial" w:hAnsi="Arial" w:cs="Arial"/>
          <w:sz w:val="24"/>
          <w:szCs w:val="24"/>
        </w:rPr>
        <w:fldChar w:fldCharType="begin"/>
      </w:r>
      <w:r>
        <w:rPr>
          <w:rFonts w:ascii="Arial" w:hAnsi="Arial" w:cs="Arial"/>
          <w:sz w:val="24"/>
          <w:szCs w:val="24"/>
        </w:rPr>
        <w:instrText xml:space="preserve"> ADDIN ZOTERO_ITEM CSL_CITATION {"citationID":"tMp4X7w6","properties":{"formattedCitation":"(Springett &amp; Wallerstein, 2008; Suarez-Herrera et al., 2009)","plainCitation":"(Springett &amp; Wallerstein, 2008; Suarez-Herrera et al., 2009)","noteIndex":0},"citationItems":[{"id":1360,"uris":["http://zotero.org/users/2351503/items/2AKQFSVT"],"itemData":{"id":1360,"type":"article-journal","container-title":"Community-Based Participatory Research for Health: From Process to Outcomes","journalAbbreviation":"Community-Based Participatory Research for Health: From Process to Outcomes","page":"199-220","source":"ResearchGate","title":"Issues in participatory evaluation","author":[{"family":"Springett","given":"Jane"},{"family":"Wallerstein","given":"Nina"}],"issued":{"date-parts":[["2008",1,1]]}}},{"id":69,"uris":["http://zotero.org/users/2351503/items/3EJMQWG5"],"itemData":{"id":69,"type":"article-journal","abstract":"The current debate around the emergence of participatory approaches in evaluation practice suggests that participatory evaluation may be considered an organizational learning praxis, one which facilitates the development of a holistic process of intentional change. Through critical reflection on how participatory evaluation has been conceptualized, this article offers an overview of some of the contextual challenges encountered when using participatory evaluation to enable the creation of learning environments. Given the pluralistic nature of modern organizations and some contextual constraints, evaluators appear to have largely developed a more instrumental type of learning, which may, paradoxically, result in a significant source of resistance to intentional change. This article proposes a process of capacity building for evaluative research (CBER). This process offers a collaborative way of overcoming unforeseen resistance to intentional change by overcoming the challenges found in the relationship between participatory evaluation and organizational learning. The article concludes by suggesting some epistemological and organizational issues that evaluators should take into account when enabling the implementation of a process of CBER in pluralistic organizations.","container-title":"Evaluation","DOI":"10.1177/1356389009105884","ISSN":"1356-3890","issue":"3","journalAbbreviation":"Evaluation","language":"en","page":"321-342","source":"SAGE Journals","title":"Critical Connections between Participatory Evaluation, Organizational Learning and Intentional Change in Pluralistic Organizations","volume":"15","author":[{"family":"Suarez-Herrera","given":"José Carlos"},{"family":"Springett","given":"Jane"},{"family":"Kagan","given":"Carolyn"}],"issued":{"date-parts":[["2009",7,1]]}}}],"schema":"https://github.com/citation-style-language/schema/raw/master/csl-citation.json"} </w:instrText>
      </w:r>
      <w:r>
        <w:rPr>
          <w:rFonts w:ascii="Arial" w:hAnsi="Arial" w:cs="Arial"/>
          <w:sz w:val="24"/>
          <w:szCs w:val="24"/>
        </w:rPr>
        <w:fldChar w:fldCharType="separate"/>
      </w:r>
      <w:r>
        <w:rPr>
          <w:rFonts w:ascii="Arial" w:hAnsi="Arial" w:cs="Arial"/>
          <w:sz w:val="24"/>
          <w:szCs w:val="24"/>
        </w:rPr>
        <w:t>(Springett &amp; Wallerstein, 2008; Suarez-Herrera et al., 2009)</w:t>
      </w:r>
      <w:r>
        <w:rPr>
          <w:rFonts w:ascii="Arial" w:hAnsi="Arial" w:cs="Arial"/>
          <w:sz w:val="24"/>
          <w:szCs w:val="24"/>
        </w:rPr>
        <w:fldChar w:fldCharType="end"/>
      </w:r>
      <w:r>
        <w:rPr>
          <w:rFonts w:ascii="Arial" w:hAnsi="Arial" w:cs="Arial"/>
          <w:sz w:val="24"/>
          <w:szCs w:val="24"/>
        </w:rPr>
        <w:t>, la evaluación empoderamiento</w:t>
      </w:r>
      <w:r>
        <w:rPr>
          <w:rStyle w:val="Refdenotaalpie"/>
          <w:rFonts w:ascii="Arial" w:hAnsi="Arial" w:cs="Arial"/>
          <w:sz w:val="24"/>
          <w:szCs w:val="24"/>
        </w:rPr>
        <w:footnoteReference w:id="1"/>
      </w: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 ADDIN ZOTERO_ITEM CSL_CITATION {"citationID":"zscOv82w","properties":{"formattedCitation":"(Fetterman et al., 2015)","plainCitation":"(Fetterman et al., 2015)","noteIndex":0},"citationItems":[{"id":7909,"uris":["http://zotero.org/users/2351503/items/XCUYX5WZ"],"itemData":{"id":7909,"type":"book","event-place":"2455 Teller Road, Thousand Oaks California 91320","ISBN":"978-1-4522-9953-2","note":"DOI: 10.4135/9781483387079","publisher":"SAGE Publications, Inc","publisher-place":"2455 Teller Road, Thousand Oaks California 91320","source":"DOI.org (Crossref)","title":"Empowerment Evaluation: Knowledge and Tools for Self-Assessment, Evaluation Capacity Building, and Accountability","title-short":"Empowerment Evaluation","URL":"http://methods.sagepub.com/book/empowerment-evaluation-2e","author":[{"family":"Fetterman","given":"David M."},{"family":"Kaftarian","given":"Shakeh J."},{"family":"Wandersman","given":"Abraham"}],"accessed":{"date-parts":[["2020",11,28]]},"issued":{"date-parts":[["2015"]]}}}],"schema":"https://github.com/citation-style-language/schema/raw/master/csl-citation.json"} </w:instrText>
      </w:r>
      <w:r>
        <w:rPr>
          <w:rFonts w:ascii="Arial" w:hAnsi="Arial" w:cs="Arial"/>
          <w:sz w:val="24"/>
          <w:szCs w:val="24"/>
        </w:rPr>
        <w:fldChar w:fldCharType="separate"/>
      </w:r>
      <w:r>
        <w:rPr>
          <w:rFonts w:ascii="Arial" w:hAnsi="Arial" w:cs="Arial"/>
          <w:sz w:val="24"/>
          <w:szCs w:val="24"/>
        </w:rPr>
        <w:t>(Fetterman et al., 2015)</w:t>
      </w:r>
      <w:r>
        <w:rPr>
          <w:rFonts w:ascii="Arial" w:hAnsi="Arial" w:cs="Arial"/>
          <w:sz w:val="24"/>
          <w:szCs w:val="24"/>
        </w:rPr>
        <w:fldChar w:fldCharType="end"/>
      </w:r>
      <w:r>
        <w:rPr>
          <w:rFonts w:ascii="Arial" w:hAnsi="Arial" w:cs="Arial"/>
          <w:sz w:val="24"/>
          <w:szCs w:val="24"/>
        </w:rPr>
        <w:t xml:space="preserve"> o la investigación-intervención </w:t>
      </w:r>
      <w:r>
        <w:rPr>
          <w:rFonts w:ascii="Arial" w:hAnsi="Arial" w:cs="Arial"/>
          <w:sz w:val="24"/>
          <w:szCs w:val="24"/>
        </w:rPr>
        <w:fldChar w:fldCharType="begin"/>
      </w:r>
      <w:r>
        <w:rPr>
          <w:rFonts w:ascii="Arial" w:hAnsi="Arial" w:cs="Arial"/>
          <w:sz w:val="24"/>
          <w:szCs w:val="24"/>
        </w:rPr>
        <w:instrText xml:space="preserve"> ADDIN ZOTERO_ITEM CSL_CITATION {"citationID":"jP4vhy0b","properties":{"formattedCitation":"(Terral et al., 2021)","plainCitation":"(Terral et al., 2021)","noteIndex":0},"citationItems":[{"id":22256,"uris":["http://zotero.org/users/2351503/items/Z83KGTR3"],"itemData":{"id":22256,"type":"article-journal","abstract":"Ce texte explore deux grands enjeux, engageant à la fois des questions épistémiques et politiques qui nous semblent majeures pour l’implantation durable de la recherche interventionnelle en santé des populations (RISP) comme champ de recherche en santé. Nous interrogeons la notion de « données probantes » en montrant l’intérêt d’une appréhension à la fois exigeante et ouverte de cette catégorie dans le contexte d’expertises plurielles des RISP qui visent des modes de coordination plus fluides et étendus entre chercheurs, décideurs, intervenants et bénéficiaires des interventions dont les rapports sont potentiellement marqués par des inégalités épistémiques. Nous questionnons ensuite la nature de ces partenariats en invitant à une analyse plus approfondie de la dynamique des collaborations. Il semble en effet pertinent de considérer à la fois les séquences temporelles mais aussi les différentes échelles de contexte qui marquent les modes de coordination entre ces acteurs-experts du dispositif considéré.","container-title":"Global Health Promotion","DOI":"10.1177/1757975920984717","ISSN":"1757-9759","issue":"1_suppl","journalAbbreviation":"Glob Health Promot","language":"en","note":"publisher: SAGE Publications Ltd","page":"62-65","source":"SAGE Journals","title":"Leçons d’un colloque : les enjeux épistémiques et politiques de la recherche interventionnelle en santé des populations","title-short":"Leçons d’un colloque","volume":"28","author":[{"family":"Terral","given":"Philippe"},{"family":"Ferron","given":"Christine"},{"family":"Potvin","given":"Louise"}],"issued":{"date-parts":[["2021",3,1]]}}}],"schema":"https://github.com/citation-style-language/schema/raw/master/csl-citation.json"} </w:instrText>
      </w:r>
      <w:r>
        <w:rPr>
          <w:rFonts w:ascii="Arial" w:hAnsi="Arial" w:cs="Arial"/>
          <w:sz w:val="24"/>
          <w:szCs w:val="24"/>
        </w:rPr>
        <w:fldChar w:fldCharType="separate"/>
      </w:r>
      <w:r>
        <w:rPr>
          <w:rFonts w:ascii="Arial" w:hAnsi="Arial" w:cs="Arial"/>
          <w:sz w:val="24"/>
          <w:szCs w:val="24"/>
        </w:rPr>
        <w:t>(Terral et al., 2021)</w:t>
      </w:r>
      <w:r>
        <w:rPr>
          <w:rFonts w:ascii="Arial" w:hAnsi="Arial" w:cs="Arial"/>
          <w:sz w:val="24"/>
          <w:szCs w:val="24"/>
        </w:rPr>
        <w:fldChar w:fldCharType="end"/>
      </w:r>
      <w:r>
        <w:rPr>
          <w:rFonts w:ascii="Arial" w:hAnsi="Arial" w:cs="Arial"/>
          <w:sz w:val="24"/>
          <w:szCs w:val="24"/>
        </w:rPr>
        <w:t xml:space="preserve">, entre otros. Este tipo de investigación respalda el conocimiento de los ciudadanos, fomenta el potencial de los participantes y refuerza la conciencia de los actores implicados para iniciar y controlar su intervención en los proyectos de investigación en materia de salud pública </w:t>
      </w:r>
      <w:r>
        <w:rPr>
          <w:rFonts w:ascii="Arial" w:hAnsi="Arial" w:cs="Arial"/>
          <w:sz w:val="24"/>
          <w:szCs w:val="24"/>
        </w:rPr>
        <w:fldChar w:fldCharType="begin"/>
      </w:r>
      <w:r>
        <w:rPr>
          <w:rFonts w:ascii="Arial" w:hAnsi="Arial" w:cs="Arial"/>
          <w:sz w:val="24"/>
          <w:szCs w:val="24"/>
        </w:rPr>
        <w:instrText xml:space="preserve"> ADDIN ZOTERO_ITEM CSL_CITATION {"citationID":"ahngaxZ2","properties":{"formattedCitation":"(Abma et al., 2017; Bourke, 2009; Budig et al., 2018)","plainCitation":"(Abma et al., 2017; Bourke, 2009; Budig et al., 2018)","noteIndex":0},"citationItems":[{"id":5587,"uris":["http://zotero.org/users/2351503/items/8TGSSWN9"],"itemData":{"id":5587,"type":"article-journal","abstract":"Social impact, defined as an effect on society, culture, quality of life, community services, or public policy beyond academia, is widely considered as a relevant requirement for scientific research, especially in the field of health care. Traditionally, in health research, the process of knowledge transfer is rather linear and one-sided and has not recognized and integrated the expertise of practitioners and those who use services. This can lead to discrimination or disqualification of knowledge and epistemic injustice. Epistemic injustice is a situation wherein certain kinds of knowers and knowledge are not taken seriously into account to define a situation. The purpose of our article is to explore how health researchers can achieve social impact for a wide audience, involving them in a non-linear process of joint learning on urgent problems recognized by the various stakeholders in public health. In participatory health research impact is not preordained by one group of stakeholders, but the result of a process of reflection and dialog with multiple stakeholders on what counts as valuable outcomes. This knowledge mobilization and winding pathway embarked upon during such research have the potential for impact along the way as opposed to the expectation that impact will occur merely at the end of a research project. We will discuss and illustrate the merits of taking a negotiated, discursive and flexible pathway in the area of community-based health promotion.","container-title":"Educational Action Research","DOI":"10.1080/09650792.2017.1329092","ISSN":"0965-0792","issue":"4","page":"489-505","source":"Taylor and Francis+NEJM","title":"Social impact of participatory health research: collaborative non-linear processes of knowledge mobilization","title-short":"Social impact of participatory health research","volume":"25","author":[{"family":"Abma","given":"Tineke A."},{"family":"Cook","given":"Tina"},{"family":"Rämgård","given":"Margaretha"},{"family":"Kleba","given":"Elisabeth"},{"family":"Harris","given":"Janet"},{"family":"Wallerstein","given":"Nina"}],"issued":{"date-parts":[["2017",8,8]]}}},{"id":6457,"uris":["http://zotero.org/users/2351503/items/DDDXAPEH"],"itemData":{"id":6457,"type":"article-journal","abstract":"The author has reflected on her experience in facilitating three participatory research (PR) projects to identify key issues surrounding participation, method and power. The three PR projects in health, all undertaken in the same region in southeast Australia, assessed the needs of women who have experienced breast cancer, evaluated an Indigenous healthy lifestyle programme and developed and documented a model of coordinated care by a consumer group. In particular, the three participatory projects suggested that participants do not always want to maximise their own participation and may prefer external researcher involvement – relationships, confidentiality, anonymity and time</w:instrText>
      </w:r>
      <w:r w:rsidRPr="00634580">
        <w:rPr>
          <w:rFonts w:ascii="Arial" w:hAnsi="Arial" w:cs="Arial"/>
          <w:sz w:val="24"/>
          <w:szCs w:val="24"/>
        </w:rPr>
        <w:instrText>‐</w:instrText>
      </w:r>
      <w:r>
        <w:rPr>
          <w:rFonts w:ascii="Arial" w:hAnsi="Arial" w:cs="Arial"/>
          <w:sz w:val="24"/>
          <w:szCs w:val="24"/>
        </w:rPr>
        <w:instrText>impacted perspectives of participation. In one study, quantitative methods were selected and time and previous knowledge of research shaped participants' selection of method. In the projects, power relations were complex and issues of negotiation, inclusion, quality of research, agendas, roles and integrity are discussed. The lessons learned here are that participatory researchers can be open to differing levels of participation and methods while also comfortable with sharing decision</w:instrText>
      </w:r>
      <w:r w:rsidRPr="00634580">
        <w:rPr>
          <w:rFonts w:ascii="Arial" w:hAnsi="Arial" w:cs="Arial"/>
          <w:sz w:val="24"/>
          <w:szCs w:val="24"/>
        </w:rPr>
        <w:instrText>‐</w:instrText>
      </w:r>
      <w:r>
        <w:rPr>
          <w:rFonts w:ascii="Arial" w:hAnsi="Arial" w:cs="Arial"/>
          <w:sz w:val="24"/>
          <w:szCs w:val="24"/>
        </w:rPr>
        <w:instrText xml:space="preserve">making in research, even if it alters the research outcome.","container-title":"International Journal of Social Research Methodology","DOI":"10.1080/13645570802373676","ISSN":"1364-5579","issue":"5","page":"457-474","source":"Taylor and Francis+NEJM","title":"Reflections on doing participatory research in health: participation, method and power","title-short":"Reflections on doing participatory research in health","volume":"12","author":[{"family":"Bourke","given":"Lisa"}],"issued":{"date-parts":[["2009",12,1]]}}},{"id":6509,"uris":["http://zotero.org/users/2351503/items/7X25AREK"],"itemData":{"id":6509,"type":"article-journal","abstract":"Photovoice is a visual research methodology with the intention to foster social change. Photovoice has been used to investigate change in empowerment in vulnerable communities, However, the individual experience of participants involved in Photovoice projects is seldom scrutinized. Our aim was to explore and describe the individual experiences of the female individuals who participated in a previous Photovoice project. We analyzed a change in the women’s empowerment in terms of: 1) gain in knowledge and skills, 2) change in self-perception, and 3) access to and use of resources.","container-title":"BMC Public Health","DOI":"10.1186/s12889-018-5335-7","ISSN":"1471-2458","issue":"1","journalAbbreviation":"BMC Public Health","page":"432","source":"BioMed Central","title":"Photovoice and empowerment: evaluating the transformative potential of a participatory action research project","title-short":"Photovoice and empowerment","volume":"18","author":[{"family":"Budig","given":"Kirsten"},{"family":"Diez","given":"Julia"},{"family":"Conde","given":"Paloma"},{"family":"Sastre","given":"Marta"},{"family":"Hernán","given":"Mariano"},{"family":"Franco","given":"Manuel"}],"issued":{"date-parts":[["2018",4,2]]}}}],"schema":"https://github.com/citation-style-language/schema/raw/master/csl-citation.json"} </w:instrText>
      </w:r>
      <w:r>
        <w:rPr>
          <w:rFonts w:ascii="Arial" w:hAnsi="Arial" w:cs="Arial"/>
          <w:sz w:val="24"/>
          <w:szCs w:val="24"/>
        </w:rPr>
        <w:fldChar w:fldCharType="separate"/>
      </w:r>
      <w:r>
        <w:rPr>
          <w:rFonts w:ascii="Arial" w:hAnsi="Arial" w:cs="Arial"/>
          <w:sz w:val="24"/>
          <w:szCs w:val="24"/>
        </w:rPr>
        <w:t>(Abma et al., 2017; Bourke, 2009; Budig et al., 2018)</w:t>
      </w:r>
      <w:r>
        <w:rPr>
          <w:rFonts w:ascii="Arial" w:hAnsi="Arial" w:cs="Arial"/>
          <w:sz w:val="24"/>
          <w:szCs w:val="24"/>
        </w:rPr>
        <w:fldChar w:fldCharType="end"/>
      </w:r>
      <w:r>
        <w:rPr>
          <w:rFonts w:ascii="Arial" w:hAnsi="Arial" w:cs="Arial"/>
          <w:sz w:val="24"/>
          <w:szCs w:val="24"/>
        </w:rPr>
        <w:t>.</w:t>
      </w:r>
    </w:p>
    <w:p w14:paraId="47DB18D7" w14:textId="77777777" w:rsidR="0093626A" w:rsidRDefault="0093626A" w:rsidP="005915A7">
      <w:pPr>
        <w:spacing w:after="0" w:line="360" w:lineRule="auto"/>
        <w:jc w:val="both"/>
        <w:rPr>
          <w:rFonts w:ascii="Arial" w:hAnsi="Arial" w:cs="Arial"/>
          <w:sz w:val="24"/>
          <w:szCs w:val="24"/>
        </w:rPr>
      </w:pPr>
    </w:p>
    <w:p w14:paraId="3B54D02A" w14:textId="77777777" w:rsidR="0093626A" w:rsidRDefault="00000000" w:rsidP="00634580">
      <w:pPr>
        <w:spacing w:after="0" w:line="360" w:lineRule="auto"/>
        <w:ind w:firstLine="708"/>
        <w:jc w:val="both"/>
        <w:rPr>
          <w:rFonts w:ascii="Arial" w:hAnsi="Arial" w:cs="Arial"/>
          <w:sz w:val="24"/>
          <w:szCs w:val="24"/>
        </w:rPr>
      </w:pPr>
      <w:r>
        <w:rPr>
          <w:rFonts w:ascii="Arial" w:hAnsi="Arial" w:cs="Arial"/>
          <w:sz w:val="24"/>
          <w:szCs w:val="24"/>
        </w:rPr>
        <w:t xml:space="preserve">Numerosos estudios constatan que la utilización de estos enfoques en el campo de la salud pública garantiza una </w:t>
      </w:r>
      <w:r>
        <w:rPr>
          <w:rFonts w:ascii="Arial" w:hAnsi="Arial" w:cs="Arial"/>
          <w:sz w:val="24"/>
          <w:szCs w:val="24"/>
          <w:shd w:val="clear" w:color="auto" w:fill="FFFFFF" w:themeFill="background1"/>
        </w:rPr>
        <w:t>práctica de investigación</w:t>
      </w:r>
      <w:r>
        <w:rPr>
          <w:rFonts w:ascii="Arial" w:hAnsi="Arial" w:cs="Arial"/>
          <w:sz w:val="24"/>
          <w:szCs w:val="24"/>
        </w:rPr>
        <w:t xml:space="preserve"> cultural y logísticamente adecuada, ayuda a mejorar la capacidad de trabajo de equipo y de co-gobernanza </w:t>
      </w:r>
      <w:r>
        <w:rPr>
          <w:rFonts w:ascii="Arial" w:hAnsi="Arial" w:cs="Arial"/>
          <w:sz w:val="24"/>
          <w:szCs w:val="24"/>
        </w:rPr>
        <w:fldChar w:fldCharType="begin"/>
      </w:r>
      <w:r>
        <w:rPr>
          <w:rFonts w:ascii="Arial" w:hAnsi="Arial" w:cs="Arial"/>
          <w:sz w:val="24"/>
          <w:szCs w:val="24"/>
        </w:rPr>
        <w:instrText xml:space="preserve"> ADDIN ZOTERO_ITEM CSL_CITATION {"citationID":"WVnCkzdj","properties":{"formattedCitation":"(Jagosh et al., 2011)","plainCitation":"(Jagosh et al., 2011)","noteIndex":0},"citationItems":[{"id":22262,"uris":["http://zotero.org/users/2351503/items/SQ5P4MQL"],"itemData":{"id":22262,"type":"article-journal","abstract":"Participatory Research (PR) entails the co-governance of research by academic researchers and end-users. End-users are those who are affected by issues under study (e.g., community groups or populations affected by illness), or those positioned to act on the knowledge generated by research (e.g., clinicians, community leaders, health managers, patients, and policy makers). Systematic reviews assessing the generalizable benefits of PR must address: the diversity of research topics, methods, and intervention designs that involve a PR approach; varying degrees of end-user involvement in research co-governance, both within and between projects; and the complexity of outcomes arising from long-term partnerships.","container-title":"Implementation Science","DOI":"10.1186/1748-5908-6-24","ISSN":"1748-5908","issue":"1","journalAbbreviation":"Implementation Science","page":"24","source":"BioMed Central","title":"Assessing the outcomes of participatory research: protocol for identifying, selecting, appraising and synthesizing the literature for realist review","title-short":"Assessing the outcomes of participatory research","volume":"6","author":[{"family":"Jagosh","given":"Justin"},{"family":"Pluye","given":"Pierre"},{"family":"Macaulay","given":"Ann C."},{"family":"Salsberg","given":"Jon"},{"family":"Henderson","given":"Jim"},{"family":"Sirett","given":"Erin"},{"family":"Bush","given":"Paula L."},{"family":"Seller","given":"Robbyn"},{"family":"Wong","given":"Geoff"},{"family":"Greenhalgh","given":"Trish"},{"family":"Cargo","given":"Margaret"},{"family":"Herbert","given":"Carol P."},{"family":"Seifer","given":"Sarena D."},{"family":"Green","given":"Lawrence W."}],"issued":{"date-parts":[["2011",3,20]]}}}],"schema":"https://github.com/citation-style-language/schema/raw/master/csl-citation.json"} </w:instrText>
      </w:r>
      <w:r>
        <w:rPr>
          <w:rFonts w:ascii="Arial" w:hAnsi="Arial" w:cs="Arial"/>
          <w:sz w:val="24"/>
          <w:szCs w:val="24"/>
        </w:rPr>
        <w:fldChar w:fldCharType="separate"/>
      </w:r>
      <w:r>
        <w:rPr>
          <w:rFonts w:ascii="Arial" w:hAnsi="Arial" w:cs="Arial"/>
          <w:sz w:val="24"/>
          <w:szCs w:val="24"/>
        </w:rPr>
        <w:t>(Jagosh et al., 2011)</w:t>
      </w:r>
      <w:r>
        <w:rPr>
          <w:rFonts w:ascii="Arial" w:hAnsi="Arial" w:cs="Arial"/>
          <w:sz w:val="24"/>
          <w:szCs w:val="24"/>
        </w:rPr>
        <w:fldChar w:fldCharType="end"/>
      </w:r>
      <w:r>
        <w:rPr>
          <w:rFonts w:ascii="Arial" w:hAnsi="Arial" w:cs="Arial"/>
          <w:sz w:val="24"/>
          <w:szCs w:val="24"/>
        </w:rPr>
        <w:t xml:space="preserve">, genera capacidad y desarrolla competencia profesional entre los actores implicados </w:t>
      </w:r>
      <w:r>
        <w:rPr>
          <w:rFonts w:ascii="Arial" w:hAnsi="Arial" w:cs="Arial"/>
          <w:sz w:val="24"/>
          <w:szCs w:val="24"/>
        </w:rPr>
        <w:fldChar w:fldCharType="begin"/>
      </w:r>
      <w:r>
        <w:rPr>
          <w:rFonts w:ascii="Arial" w:hAnsi="Arial" w:cs="Arial"/>
          <w:sz w:val="24"/>
          <w:szCs w:val="24"/>
        </w:rPr>
        <w:instrText xml:space="preserve"> ADDIN ZOTERO_ITEM CSL_CITATION {"citationID":"86A4j3io","properties":{"formattedCitation":"(Boulton &amp; Gifford, 2012)","plainCitation":"(Boulton &amp; Gifford, 2012)","noteIndex":0},"citationItems":[{"id":5940,"uris":["http://zotero.org/users/2351503/items/5878JI93"],"itemData":{"id":5940,"type":"article-journal","abstract":"This article discusses the subtle distinction between the role of a critical friend in participatory action research (PAR) evaluation and that of intervention project management, along with tensions that arise when the roles become blurred. These tensions are particularly evident when the imperatives for contributing to Māori development and local-level capacity-building impact on PAR evaluation best practice. The article draws on the experiences of evaluators at Whakauae Research for Māori Health and Development (WRMHD), a small, tribally based research unit, which regularly conducts PAR evaluation with community-based health organisations. To set the context, WRMHD's philosophical drivers and model of evaluation practice are described. The key principles of PAR evaluation and limitations of the approach are briefly discussed with reference to WRMHD's model of practice. The article then considers the issue of blurred boundaries; the conditions under which this phenomenon is likely to arise; and why it presents such a challenge to WRMHD's evaluation work. The article concludes by proposing a series of strategies that could be employed to mitigate the tensions that arise when the boundaries between roles become blurred.","container-title":"Evaluation Journal of Australasia","DOI":"10.1177/1035719X1201200205","ISSN":"1035-719X","issue":"2","journalAbbreviation":"Evaluation Journal of Australasia","language":"en","page":"40-45","source":"SAGE Journals","title":"Blurred Boundaries in Participatory Action Research: When a Critical Friend becomes too Critical to Project Implementation and Sustainability","title-short":"Blurred Boundaries in Participatory Action Research","volume":"12","author":[{"family":"Boulton","given":"Amohia"},{"family":"Gifford","given":"Heather"}],"issued":{"date-parts":[["2012",9,1]]}}}],"schema":"https://github.com/citation-style-language/schema/raw/master/csl-citation.json"} </w:instrText>
      </w:r>
      <w:r>
        <w:rPr>
          <w:rFonts w:ascii="Arial" w:hAnsi="Arial" w:cs="Arial"/>
          <w:sz w:val="24"/>
          <w:szCs w:val="24"/>
        </w:rPr>
        <w:fldChar w:fldCharType="separate"/>
      </w:r>
      <w:r>
        <w:rPr>
          <w:rFonts w:ascii="Arial" w:hAnsi="Arial" w:cs="Arial"/>
          <w:sz w:val="24"/>
          <w:szCs w:val="24"/>
        </w:rPr>
        <w:t>(Boulton &amp; Gifford, 2012)</w:t>
      </w:r>
      <w:r>
        <w:rPr>
          <w:rFonts w:ascii="Arial" w:hAnsi="Arial" w:cs="Arial"/>
          <w:sz w:val="24"/>
          <w:szCs w:val="24"/>
        </w:rPr>
        <w:fldChar w:fldCharType="end"/>
      </w:r>
      <w:r>
        <w:rPr>
          <w:rFonts w:ascii="Arial" w:hAnsi="Arial" w:cs="Arial"/>
          <w:sz w:val="24"/>
          <w:szCs w:val="24"/>
        </w:rPr>
        <w:t xml:space="preserve">, da lugar a </w:t>
      </w:r>
      <w:r>
        <w:rPr>
          <w:rFonts w:ascii="Arial" w:hAnsi="Arial" w:cs="Arial"/>
          <w:sz w:val="24"/>
          <w:szCs w:val="24"/>
        </w:rPr>
        <w:lastRenderedPageBreak/>
        <w:t xml:space="preserve">dispositivos de gestión de conflictos que concluyen en negociaciones eficaces </w:t>
      </w:r>
      <w:r>
        <w:rPr>
          <w:rFonts w:ascii="Arial" w:hAnsi="Arial" w:cs="Arial"/>
          <w:sz w:val="24"/>
          <w:szCs w:val="24"/>
        </w:rPr>
        <w:fldChar w:fldCharType="begin"/>
      </w:r>
      <w:r>
        <w:rPr>
          <w:rFonts w:ascii="Arial" w:hAnsi="Arial" w:cs="Arial"/>
          <w:sz w:val="24"/>
          <w:szCs w:val="24"/>
        </w:rPr>
        <w:instrText xml:space="preserve"> ADDIN ZOTERO_ITEM CSL_CITATION {"citationID":"EfH7FfMc","properties":{"formattedCitation":"(Walker &amp; Haslett, 2016)","plainCitation":"(Walker &amp; Haslett, 2016)","noteIndex":0},"citationItems":[{"id":4255,"uris":["http://zotero.org/users/2351503/items/R9688XRR"],"itemData":{"id":4255,"type":"article-journal","abstract":"This paper discusses the application of the guiding ethical principles for the conduct of research involving human subjects in an action research project in a membership-based community psychiatric disability organization. Action research is a collaborative process of critical inquiry between the researcher and the people in the situation, in this case the management executive. The relationship between the researcher and manager participants in a long-term action research project gives rise to ethical dilemmas related to participant selection and voluntary participation, informed consent, decision making, anonymity and confidentiality, conflicting and different needs. The process and strategies implemented to address them are discussed.","container-title":"Systemic Practice and Action Research","DOI":"10.1023/A:1021016821198","ISSN":"1094-429X, 1573-9295","issue":"6","journalAbbreviation":"Systemic Practice and Action Research","language":"en","page":"523-533","source":"link.springer.com","title":"Action Research in Management—Ethical Dilemmas","volume":"15","author":[{"family":"Walker","given":"Beverly"},{"family":"Haslett","given":"Tim"}],"issued":{"date-parts":[["2016",9,11]]}}}],"schema":"https://github.com/citation-style-language/schema/raw/master/csl-citation.json"} </w:instrText>
      </w:r>
      <w:r>
        <w:rPr>
          <w:rFonts w:ascii="Arial" w:hAnsi="Arial" w:cs="Arial"/>
          <w:sz w:val="24"/>
          <w:szCs w:val="24"/>
        </w:rPr>
        <w:fldChar w:fldCharType="separate"/>
      </w:r>
      <w:r>
        <w:rPr>
          <w:rFonts w:ascii="Arial" w:hAnsi="Arial" w:cs="Arial"/>
          <w:sz w:val="24"/>
          <w:szCs w:val="24"/>
        </w:rPr>
        <w:t>(Walker &amp; Haslett, 2016)</w:t>
      </w:r>
      <w:r>
        <w:rPr>
          <w:rFonts w:ascii="Arial" w:hAnsi="Arial" w:cs="Arial"/>
          <w:sz w:val="24"/>
          <w:szCs w:val="24"/>
        </w:rPr>
        <w:fldChar w:fldCharType="end"/>
      </w:r>
      <w:r>
        <w:rPr>
          <w:rFonts w:ascii="Arial" w:hAnsi="Arial" w:cs="Arial"/>
          <w:sz w:val="24"/>
          <w:szCs w:val="24"/>
        </w:rPr>
        <w:t xml:space="preserve">, aumentan la calidad de los proyectos y las prácticas de investigación </w:t>
      </w:r>
      <w:r>
        <w:rPr>
          <w:rFonts w:ascii="Arial" w:hAnsi="Arial" w:cs="Arial"/>
          <w:sz w:val="24"/>
          <w:szCs w:val="24"/>
        </w:rPr>
        <w:fldChar w:fldCharType="begin"/>
      </w:r>
      <w:r>
        <w:rPr>
          <w:rFonts w:ascii="Arial" w:hAnsi="Arial" w:cs="Arial"/>
          <w:sz w:val="24"/>
          <w:szCs w:val="24"/>
        </w:rPr>
        <w:instrText xml:space="preserve"> ADDIN ZOTERO_ITEM CSL_CITATION {"citationID":"lBXB06SN","properties":{"formattedCitation":"(Abma et al., 2017; Worthen et al., 2019)","plainCitation":"(Abma et al., 2017; Worthen et al., 2019)","noteIndex":0},"citationItems":[{"id":5587,"uris":["http://zotero.org/users/2351503/items/8TGSSWN9"],"itemData":{"id":5587,"type":"article-journal","abstract":"Social impact, defined as an effect on society, culture, quality of life, community services, or public policy beyond academia, is widely considered as a relevant requirement for scientific research, especially in the field of health care. Traditionally, in health research, the process of knowledge transfer is rather linear and one-sided and has not recognized and integrated the expertise of practitioners and those who use services. This can lead to discrimination or disqualification of knowledge and epistemic injustice. Epistemic injustice is a situation wherein certain kinds of knowers and knowledge are not taken seriously into account to define a situation. The purpose of our article is to explore how health researchers can achieve social impact for a wide audience, involving them in a non-linear process of joint learning on urgent problems recognized by the various stakeholders in public health. In participatory health research impact is not preordained by one group of stakeholders, but the result of a process of reflection and dialog with multiple stakeholders on what counts as valuable outcomes. This knowledge mobilization and winding pathway embarked upon during such research have the potential for impact along the way as opposed to the expectation that impact will occur merely at the end of a research project. We will discuss and illustrate the merits of taking a negotiated, discursive and flexible pathway in the area of community-based health promotion.","container-title":"Educational Action Research","DOI":"10.1080/09650792.2017.1329092","ISSN":"0965-0792","issue":"4","page":"489-505","source":"Taylor and Francis+NEJM","title":"Social impact of participatory health research: collaborative non-linear processes of knowledge mobilization","title-short":"Social impact of participatory health research","volume":"25","author":[{"family":"Abma","given":"Tineke A."},{"family":"Cook","given":"Tina"},{"family":"Rämgård","given":"Margaretha"},{"family":"Kleba","given":"Elisabeth"},{"family":"Harris","given":"Janet"},{"family":"Wallerstein","given":"Nina"}],"issued":{"date-parts":[["2017",8,8]]}}},{"id":5586,"uris":["http://zotero.org/users/2351503/items/C4QENY39"],"itemData":{"id":5586,"type":"article-journal","abstract":"The Participatory Action Research (PAR) study with Young Mothers in Liberia, Sierra Leone and northern Uganda which took place from 2006 to 2009 aimed to understand what ‘reintegration’ meant to young mothers formerly associated with armed groups. It also implemented social action initiatives designed by study participants to promote their wellbeing and achieve reintegration. We evaluated the study using multiple participatory evaluation methods, situating evaluation as part of the cycle of research and action. This approach facilitated young mothers’ participation in developing the criteria by which the study and its reintegration outcomes would be judged. We describe each method and what we uniquely learned from using a participatory evaluation approach. We discuss how this approach is well-suited for complex studies, can enhance data quality, increases capacity of all involved in the evaluation and supports the critical reflexivity necessary for participatory studies to succeed.","container-title":"Oxford Development Studies","DOI":"10.1080/13600818.2019.1584282","ISSN":"1360-0818","issue":"2","page":"154-170","source":"Taylor and Francis+NEJM","title":"The transformative and emancipatory potential of participatory evaluation: reflections from a participatory action research study with war-affected young mothers","title-short":"The transformative and emancipatory potential of participatory evaluation","volume":"47","author":[{"family":"Worthen","given":"Miranda"},{"family":"Veale","given":"Angela"},{"family":"McKay","given":"Susan"},{"family":"Wessells","given":"Michael"}],"issued":{"date-parts":[["2019",4,3]]}}}],"schema":"https://github.com/citation-style-language/schema/raw/master/csl-citation.json"} </w:instrText>
      </w:r>
      <w:r>
        <w:rPr>
          <w:rFonts w:ascii="Arial" w:hAnsi="Arial" w:cs="Arial"/>
          <w:sz w:val="24"/>
          <w:szCs w:val="24"/>
        </w:rPr>
        <w:fldChar w:fldCharType="separate"/>
      </w:r>
      <w:r>
        <w:rPr>
          <w:rFonts w:ascii="Arial" w:hAnsi="Arial" w:cs="Arial"/>
          <w:sz w:val="24"/>
          <w:szCs w:val="24"/>
        </w:rPr>
        <w:t>(Abma et al., 2017; Worthen et al., 2019)</w:t>
      </w:r>
      <w:r>
        <w:rPr>
          <w:rFonts w:ascii="Arial" w:hAnsi="Arial" w:cs="Arial"/>
          <w:sz w:val="24"/>
          <w:szCs w:val="24"/>
        </w:rPr>
        <w:fldChar w:fldCharType="end"/>
      </w:r>
      <w:r>
        <w:rPr>
          <w:rFonts w:ascii="Arial" w:hAnsi="Arial" w:cs="Arial"/>
          <w:sz w:val="24"/>
          <w:szCs w:val="24"/>
        </w:rPr>
        <w:t xml:space="preserve">, aumentan la sostenibilidad de los resultados de la investigación más allá de los plazos de financiación y durante las lagunas de financiación externa </w:t>
      </w:r>
      <w:r>
        <w:rPr>
          <w:rFonts w:ascii="Arial" w:hAnsi="Arial" w:cs="Arial"/>
          <w:sz w:val="24"/>
          <w:szCs w:val="24"/>
        </w:rPr>
        <w:fldChar w:fldCharType="begin"/>
      </w:r>
      <w:r>
        <w:rPr>
          <w:rFonts w:ascii="Arial" w:hAnsi="Arial" w:cs="Arial"/>
          <w:sz w:val="24"/>
          <w:szCs w:val="24"/>
        </w:rPr>
        <w:instrText xml:space="preserve"> ADDIN ZOTERO_ITEM CSL_CITATION {"citationID":"vTvvLrYJ","properties":{"formattedCitation":"(Norstr\\uc0\\u246{}m et al., 2020)","plainCitation":"(Norström et al., 2020)","noteIndex":0},"citationItems":[{"id":8971,"uris":["http://zotero.org/users/2351503/items/APRQGUUE"],"itemData":{"id":8971,"type":"article-journal","abstract":"Research practice, funding agencies and global science organizations suggest that research aimed at addressing sustainability challenges is most effective when ‘co-produced’ by academics and non-academics. Co-production promises to address the complex nature of contemporary sustainability challenges better than more traditional scientific approaches. But definitions of knowledge co-production are diverse and often contradictory. We propose a set of four general principles that underlie high-quality knowledge co-production for sustainability research. Using these principles, we offer practical guidance on how to engage in meaningful co-productive practices, and how to evaluate their quality and success.","container-title":"Nature Sustainability","DOI":"10.1038/s41893-019-0448-2","ISSN":"2398-9629","issue":"3","journalAbbreviation":"Nat Sustain","language":"en","license":"2020 Springer Nature Limited","note":"number: 3\npublisher: Nature Publishing Group","page":"182-190","source":"www.nature.com","title":"Principles for knowledge co-production in sustainability research","volume":"3","author":[{"family":"Norström","given":"Albert V."},{"family":"Cvitanovic","given":"Christopher"},{"family":"Löf","given":"Marie F."},{"family":"West","given":"Simon"},{"family":"Wyborn","given":"Carina"},{"family":"Balvanera","given":"Patricia"},{"family":"Bednarek","given":"Angela T."},{"family":"Bennett","given":"Elena M."},{"family":"Biggs","given":"Reinette"},{"family":"Bremond","given":"Ariane","non-dropping-particle":"de"},{"family":"Campbell","given":"Bruce M."},{"family":"Canadell","given":"Josep G."},{"family":"Carpenter","given":"Stephen R."},{"family":"Folke","given":"Carl"},{"family":"Fulton","given":"Elizabeth A."},{"family":"Gaffney","given":"Owen"},{"family":"Gelcich","given":"Stefan"},{"family":"Jouffray","given":"Jean-Baptiste"},{"family":"Leach","given":"Melissa"},{"family":"Le Tissier","given":"Martin"},{"family":"Martín-López","given":"Berta"},{"family":"Louder","given":"Elena"},{"family":"Loutre","given":"Marie-France"},{"family":"Meadow","given":"Alison M."},{"family":"Nagendra","given":"Harini"},{"family":"Payne","given":"Davnah"},{"family":"Peterson","given":"Garry D."},{"family":"Reyers","given":"Belinda"},{"family":"Scholes","given":"Robert"},{"family":"Speranza","given":"Chinwe Ifejika"},{"family":"Spierenburg","given":"Marja"},{"family":"Stafford-Smith","given":"Mark"},{"family":"Tengö","given":"Maria"},{"family":"Hel","given":"Sandra","non-dropping-particle":"van der"},{"family":"Putten","given":"Ingrid","non-dropping-particle":"van"},{"family":"Österblom","given":"Henrik"}],"issued":{"date-parts":[["2020",3]]}}}],"schema":"https://github.com/citation-style-language/schema/raw/master/csl-citation.json"} </w:instrText>
      </w:r>
      <w:r>
        <w:rPr>
          <w:rFonts w:ascii="Arial" w:hAnsi="Arial" w:cs="Arial"/>
          <w:sz w:val="24"/>
          <w:szCs w:val="24"/>
        </w:rPr>
        <w:fldChar w:fldCharType="separate"/>
      </w:r>
      <w:r>
        <w:rPr>
          <w:rFonts w:ascii="Arial" w:hAnsi="Arial" w:cs="Arial"/>
          <w:kern w:val="0"/>
          <w:sz w:val="24"/>
          <w:szCs w:val="24"/>
        </w:rPr>
        <w:t>(Norström et al., 2020)</w:t>
      </w:r>
      <w:r>
        <w:rPr>
          <w:rFonts w:ascii="Arial" w:hAnsi="Arial" w:cs="Arial"/>
          <w:sz w:val="24"/>
          <w:szCs w:val="24"/>
        </w:rPr>
        <w:fldChar w:fldCharType="end"/>
      </w:r>
      <w:r>
        <w:rPr>
          <w:rFonts w:ascii="Arial" w:hAnsi="Arial" w:cs="Arial"/>
          <w:sz w:val="24"/>
          <w:szCs w:val="24"/>
        </w:rPr>
        <w:t xml:space="preserve">, y se constituyen como factores inesperados de cambio en el sistema de acción colectiva local </w:t>
      </w:r>
      <w:r>
        <w:rPr>
          <w:rFonts w:ascii="Arial" w:hAnsi="Arial" w:cs="Arial"/>
          <w:sz w:val="24"/>
          <w:szCs w:val="24"/>
        </w:rPr>
        <w:fldChar w:fldCharType="begin"/>
      </w:r>
      <w:r>
        <w:rPr>
          <w:rFonts w:ascii="Arial" w:hAnsi="Arial" w:cs="Arial"/>
          <w:sz w:val="24"/>
          <w:szCs w:val="24"/>
        </w:rPr>
        <w:instrText xml:space="preserve"> ADDIN ZOTERO_ITEM CSL_CITATION {"citationID":"n5lvlTnA","properties":{"formattedCitation":"(Budig et al., 2018; Gaborit et al., 2021; Jagosh et al., 2012)","plainCitation":"(Budig et al., 2018; Gaborit et al., 2021; Jagosh et al., 2012)","noteIndex":0},"citationItems":[{"id":6509,"uris":["http://zotero.org/users/2351503/items/7X25AREK"],"itemData":{"id":6509,"type":"article-journal","abstract":"Photovoice is a visual research methodology with the intention to foster social change. Photovoice has been used to investigate change in empowerment in vulnerable communities, However, the individual experience of participants involved in Photovoice projects is seldom scrutinized. Our aim was to explore and describe the individual experiences of the female individuals who participated in a previous Photovoice project. We analyzed a change in the women’s empowerment in terms of: 1) gain in knowledge and skills, 2) change in self-perception, and 3) access to and use of resources.","container-title":"BMC Public Health","DOI":"10.1186/s12889-018-5335-7","ISSN":"1471-2458","issue":"1","journalAbbreviation":"BMC Public Health","page":"432","source":"BioMed Central","title":"Photovoice and empowerment: evaluating the transformative potential of a participatory action research project","title-short":"Photovoice and empowerment","volume":"18","author":[{"family":"Budig","given":"Kirsten"},{"family":"Diez","given":"Julia"},{"family":"Conde","given":"Paloma"},{"family":"Sastre","given":"Marta"},{"family":"Hernán","given":"Mariano"},{"family":"Franco","given":"Manuel"}],"issued":{"date-parts":[["2018",4,2]]}}},{"id":22235,"uris":["http://zotero.org/users/2351503/items/EFFYVHWM"],"itemData":{"id":22235,"type":"article-journal","abstract":"Cette recherche interventionnelle analyse les dynamiques d’engagement dans la collaboration entre des chercheur.se.s de sciences humaines et sociales et deux soignantes en cancérologie, pilotes d’un dispositif d’éducation thérapeutique de patient·e·s sous anticancéreux oraux. Nous nous attachons à analyser et à réduire les asymétries de savoirs et de pouvoirs pour favoriser les relations d’échange entre diverses expertises. Cet article retrace plus particulièrement les processus sociaux et épistémiques qui font évoluer les modes de coordination entre acteur.ice.s. Une enquête ethnographique (par observation participante et entretiens auprès des enquêtés) des trois années de partenariat permet de relever, au sein de différentes arènes collaboratives, la variabilité des formes de traduction entre ces acteur·ice·s et les ajustements méthodologiques de la recherche lorsqu'elle se confronte aux enjeux de l’intervention. Différents registres de médiation sont mobilisés par les chercheur.se.s, comme par les pilotes, qui impactent les formes de coordination. Nos résultats montrent que des négociations et des accords sont réalisés sans aboutir à des coordinations maximalistes, qui autoriseraient un travail commun de promotion de la RISP.","container-title":"Global Health Promotion","DOI":"10.1177/1757975920986709","ISSN":"1757-9759","issue":"1_suppl","journalAbbreviation":"Glob Health Promot","language":"en","note":"publisher: SAGE Publications Ltd","page":"39-46","source":"SAGE Journals","title":"Étudier de près les modes de coordination pour construire un partenariat visant à réduire les inégalités épistémiques","volume":"28","author":[{"family":"Gaborit","given":"Emilie"},{"family":"Terral","given":"Philippe"},{"family":"Génolini","given":"Jean-Paul"}],"issued":{"date-parts":[["2021",3,1]]}}},{"id":6425,"uris":["http://zotero.org/users/2351503/items/CMUBY6I8"],"itemData":{"id":6425,"type":"article-journal","abstract":"Context\nParticipatory research (PR) is the co-construction of research through partnerships between researchers and people affected by and/or responsible for action on the issues under study. Evaluating the benefits of PR is challenging for a number of reasons: the research topics, methods, and study designs are heterogeneous; the extent of collaborative involvement may vary over the duration of a project and from one project to the next; and partnership activities may generate a complex array of both short- and long-term outcomes.\n\nMethods\nOur review team consisted of a collaboration among researchers and decision makers in public health, research funding, ethics review, and community-engaged scholarship. We identified, selected, and appraised a large-variety sample of primary studies describing PR partnerships, and in each stage, two team members independently reviewed and coded the literature. We used key realist review concepts (middle-range theory, demi-regularity, and context-mechanism-outcome configurations [CMO]) to analyze and synthesize the data, using the PR partnership as the main unit of analysis.\n\nFindings\nFrom 7,167 abstracts and 591 full-text papers, we distilled for synthesis a final sample of twenty-three PR partnerships described in 276 publications. The link between process and outcome in these partnerships was best explained using the middle-range theory of partnership synergy, which demonstrates how PR can (1) ensure culturally and logistically appropriate research, (2) enhance recruitment capacity, (3) generate professional capacity and competence in stakeholder groups, (4) result in productive conflicts followed by useful negotiation, (5) increase the quality of outputs and outcomes over time, (6) increase the sustainability of project goals beyond funded time frames and during gaps in external funding, and (7) create system changes and new unanticipated projects and activities. Negative examples illustrated why these outcomes were not a guaranteed product of PR partnerships but were contingent on key aspects of context.\n\nConclusions\nWe used a realist approach to embrace the heterogeneity and complexity of the PR literature. This theory-driven synthesis identified mechanisms by which PR may add value to the research process. Using the middle-range theory of partnership synergy, our review confirmed findings from previous PR reviews, documented and explained some negative outcomes, and generated new insights into the benefits of PR regarding conflicts and negotiation between stakeholders, program sustainability and advancement, unanticipated project activity, and the generation of systemic change.","container-title":"The Milbank Quarterly","DOI":"10.1111/j.1468-0009.2012.00665.x","ISSN":"0887-378X","issue":"2","journalAbbreviation":"Milbank Q","note":"PMID: 22709390\nPMCID: PMC3460206","page":"311-346","source":"PubMed Central","title":"Uncovering the Benefits of Participatory Research: Implications of a Realist Review for Health Research and Practice","title-short":"Uncovering the Benefits of Participatory Research","volume":"90","author":[{"family":"Jagosh","given":"Justin"},{"family":"Macaulay","given":"Ann C"},{"family":"Pluye","given":"Pierre"},{"family":"Salsberg","given":"Jon"},{"family":"Bush","given":"Paula L"},{"family":"Henderson","given":"Jim"},{"family":"Sirett","given":"Erin"},{"family":"Wong","given":"Geoff"},{"family":"Cargo","given":"Margaret"},{"family":"Herbert","given":"Carol P"},{"family":"Seifer","given":"Sarena D"},{"family":"Green","given":"Lawrence W"},{"family":"Greenhalgh","given":"Trisha"}],"issued":{"date-parts":[["2012",6]]}}}],"schema":"https://github.com/citation-style-language/schema/raw/master/csl-citation.json"} </w:instrText>
      </w:r>
      <w:r>
        <w:rPr>
          <w:rFonts w:ascii="Arial" w:hAnsi="Arial" w:cs="Arial"/>
          <w:sz w:val="24"/>
          <w:szCs w:val="24"/>
        </w:rPr>
        <w:fldChar w:fldCharType="separate"/>
      </w:r>
      <w:r>
        <w:rPr>
          <w:rFonts w:ascii="Arial" w:hAnsi="Arial" w:cs="Arial"/>
          <w:sz w:val="24"/>
          <w:szCs w:val="24"/>
        </w:rPr>
        <w:t>(Budig et al., 2018; Gaborit et al., 2021; Jagosh et al., 2012)</w:t>
      </w:r>
      <w:r>
        <w:rPr>
          <w:rFonts w:ascii="Arial" w:hAnsi="Arial" w:cs="Arial"/>
          <w:sz w:val="24"/>
          <w:szCs w:val="24"/>
        </w:rPr>
        <w:fldChar w:fldCharType="end"/>
      </w:r>
      <w:r>
        <w:rPr>
          <w:rFonts w:ascii="Arial" w:hAnsi="Arial" w:cs="Arial"/>
          <w:sz w:val="24"/>
          <w:szCs w:val="24"/>
        </w:rPr>
        <w:t>.</w:t>
      </w:r>
    </w:p>
    <w:p w14:paraId="3FC2AFDA" w14:textId="77777777" w:rsidR="0093626A" w:rsidRDefault="0093626A" w:rsidP="005915A7">
      <w:pPr>
        <w:spacing w:after="0" w:line="360" w:lineRule="auto"/>
        <w:jc w:val="both"/>
        <w:rPr>
          <w:rFonts w:ascii="Arial" w:hAnsi="Arial" w:cs="Arial"/>
          <w:sz w:val="24"/>
          <w:szCs w:val="24"/>
        </w:rPr>
      </w:pPr>
    </w:p>
    <w:p w14:paraId="2AE11ACF" w14:textId="77777777" w:rsidR="0093626A" w:rsidRDefault="00000000" w:rsidP="00634580">
      <w:pPr>
        <w:spacing w:after="0" w:line="360" w:lineRule="auto"/>
        <w:ind w:firstLine="708"/>
        <w:jc w:val="both"/>
        <w:rPr>
          <w:rFonts w:ascii="Arial" w:hAnsi="Arial" w:cs="Arial"/>
          <w:sz w:val="24"/>
          <w:szCs w:val="24"/>
        </w:rPr>
      </w:pPr>
      <w:r>
        <w:rPr>
          <w:rFonts w:ascii="Arial" w:hAnsi="Arial" w:cs="Arial"/>
          <w:sz w:val="24"/>
          <w:szCs w:val="24"/>
        </w:rPr>
        <w:t xml:space="preserve">Una red transnacional de investigación colaborativa proporcionaría un conjunto de </w:t>
      </w:r>
      <w:r>
        <w:rPr>
          <w:rFonts w:ascii="Arial" w:hAnsi="Arial" w:cs="Arial"/>
          <w:sz w:val="24"/>
          <w:szCs w:val="24"/>
          <w:shd w:val="clear" w:color="auto" w:fill="FFFFFF" w:themeFill="background1"/>
        </w:rPr>
        <w:t>bases</w:t>
      </w:r>
      <w:r>
        <w:rPr>
          <w:rFonts w:ascii="Arial" w:hAnsi="Arial" w:cs="Arial"/>
          <w:sz w:val="24"/>
          <w:szCs w:val="24"/>
        </w:rPr>
        <w:t xml:space="preserve"> fundamentales para el discurso y la práctica de la Salud Global, que cuestionarían sus propios fundamentos: ¿Cómo dar lugar a un punto de vista unificador sobre las intervenciones de Salud Global en contextos tan diferentes? ¿Cómo pueden ser estas prácticas argumentadas y justificadas en </w:t>
      </w:r>
      <w:r>
        <w:rPr>
          <w:rFonts w:ascii="Arial" w:hAnsi="Arial" w:cs="Arial"/>
          <w:sz w:val="24"/>
          <w:szCs w:val="24"/>
          <w:shd w:val="clear" w:color="auto" w:fill="FFFFFF" w:themeFill="background1"/>
        </w:rPr>
        <w:t>contextos</w:t>
      </w:r>
      <w:r>
        <w:rPr>
          <w:rFonts w:ascii="Arial" w:hAnsi="Arial" w:cs="Arial"/>
          <w:sz w:val="24"/>
          <w:szCs w:val="24"/>
        </w:rPr>
        <w:t xml:space="preserve"> locales conformados por múltiples actores que representan realidades de naturaleza tan distinta? ¿Cómo abordar y analizar la multiplicidad y confrontación de representaciones, concepciones y racionalidades de los actores? Y finalmente, ¿cómo desarrollar conocimientos relevantes desde el punto de vista de actores sociales con intereses divergentes o incluso conflictivos?</w:t>
      </w:r>
    </w:p>
    <w:p w14:paraId="18CE3E29" w14:textId="77777777" w:rsidR="0093626A" w:rsidRDefault="0093626A" w:rsidP="005915A7">
      <w:pPr>
        <w:spacing w:after="0" w:line="360" w:lineRule="auto"/>
        <w:jc w:val="both"/>
        <w:rPr>
          <w:rFonts w:ascii="Arial" w:hAnsi="Arial" w:cs="Arial"/>
          <w:sz w:val="24"/>
          <w:szCs w:val="24"/>
        </w:rPr>
      </w:pPr>
    </w:p>
    <w:p w14:paraId="3B335EE5" w14:textId="77777777" w:rsidR="0093626A" w:rsidRDefault="00000000" w:rsidP="00634580">
      <w:pPr>
        <w:spacing w:after="0" w:line="360" w:lineRule="auto"/>
        <w:ind w:firstLine="708"/>
        <w:jc w:val="both"/>
        <w:rPr>
          <w:rFonts w:ascii="Arial" w:hAnsi="Arial" w:cs="Arial"/>
          <w:sz w:val="24"/>
          <w:szCs w:val="24"/>
        </w:rPr>
      </w:pPr>
      <w:r>
        <w:rPr>
          <w:rFonts w:ascii="Arial" w:hAnsi="Arial" w:cs="Arial"/>
          <w:sz w:val="24"/>
          <w:szCs w:val="24"/>
        </w:rPr>
        <w:t xml:space="preserve">El desafío de este tipo de estructuras – a la vez globales y locales – consiste en integrar </w:t>
      </w:r>
      <w:r>
        <w:rPr>
          <w:rFonts w:ascii="Arial" w:hAnsi="Arial" w:cs="Arial"/>
          <w:color w:val="000000" w:themeColor="text1"/>
          <w:sz w:val="24"/>
          <w:szCs w:val="24"/>
        </w:rPr>
        <w:t xml:space="preserve">conjuntamente las inferencias generalistas de los estudios cuantitativos realizados en el campo de la Epidemiología Social y las diferencias arraigadas en contextos locales culturalmente específicos </w:t>
      </w:r>
      <w:r>
        <w:rPr>
          <w:rFonts w:ascii="Arial" w:hAnsi="Arial" w:cs="Arial"/>
          <w:color w:val="000000" w:themeColor="text1"/>
          <w:sz w:val="24"/>
          <w:szCs w:val="24"/>
        </w:rPr>
        <w:fldChar w:fldCharType="begin"/>
      </w:r>
      <w:r>
        <w:rPr>
          <w:rFonts w:ascii="Arial" w:hAnsi="Arial" w:cs="Arial"/>
          <w:color w:val="000000" w:themeColor="text1"/>
          <w:sz w:val="24"/>
          <w:szCs w:val="24"/>
        </w:rPr>
        <w:instrText xml:space="preserve"> ADDIN ZOTERO_ITEM CSL_CITATION {"citationID":"TglJgfDQ","properties":{"formattedCitation":"(Lawrence &amp; Hirsch, 2020)","plainCitation":"(Lawrence &amp; Hirsch, 2020)","noteIndex":0},"citationItems":[{"id":7546,"uris":["http://zotero.org/users/2351503/items/U7MF85CQ"],"itemData":{"id":7546,"type":"article-journal","abstract":"There are increasing calls to decolonise aspects of science, and global health is no exception. The decolonising global health movement acknowledges that global health research perpetuates existing power imbalances and aims to identify concrete ways in which global health teaching and research can overcome its colonial past and present. Using the context of clinical trials implemented through transnational research partnerships (TRPs) as a case study, this narrative review brings together perspectives from clinical research and social science to lay out specific ways in which TRPs build on and perpetuate colonial power relations. We will explore three core components of TRPs: participant experience, expertise and infrastructure, and authorship. By combining a critical perspective with recently published literature we will recommend specific ways in which TRPs can be decolonised. We conclude by discussing decolonising global health as a potential practice and object of research. By doing this we intend to frame the decolonising global health movement as one that is accessible to everyone and within which we can all play an active role.","container-title":"International Health","DOI":"10.1093/inthealth/ihaa073","issue":"6","journalAbbreviation":"Int Health","language":"en","page":"518-523","source":"academic.oup.com","title":"Decolonising global health: transnational research partnerships under the spotlight","title-short":"Decolonising global health","volume":"12","author":[{"family":"Lawrence","given":"David S."},{"family":"Hirsch","given":"Lioba A."}],"issued":{"date-parts":[["2020",11,9]]}}}],"schema":"https://github.com/citation-style-language/schema/raw/master/csl-citation.json"} </w:instrText>
      </w:r>
      <w:r>
        <w:rPr>
          <w:rFonts w:ascii="Arial" w:hAnsi="Arial" w:cs="Arial"/>
          <w:color w:val="000000" w:themeColor="text1"/>
          <w:sz w:val="24"/>
          <w:szCs w:val="24"/>
        </w:rPr>
        <w:fldChar w:fldCharType="separate"/>
      </w:r>
      <w:r>
        <w:rPr>
          <w:rFonts w:ascii="Arial" w:hAnsi="Arial" w:cs="Arial"/>
          <w:color w:val="000000" w:themeColor="text1"/>
          <w:sz w:val="24"/>
          <w:szCs w:val="24"/>
        </w:rPr>
        <w:t>(Lawrence &amp; Hirsch, 2020)</w:t>
      </w:r>
      <w:r>
        <w:rPr>
          <w:rFonts w:ascii="Arial" w:hAnsi="Arial" w:cs="Arial"/>
          <w:color w:val="000000" w:themeColor="text1"/>
          <w:sz w:val="24"/>
          <w:szCs w:val="24"/>
        </w:rPr>
        <w:fldChar w:fldCharType="end"/>
      </w:r>
      <w:r>
        <w:rPr>
          <w:rFonts w:ascii="Arial" w:hAnsi="Arial" w:cs="Arial"/>
          <w:color w:val="000000" w:themeColor="text1"/>
          <w:sz w:val="24"/>
          <w:szCs w:val="24"/>
        </w:rPr>
        <w:t xml:space="preserve">. </w:t>
      </w:r>
      <w:r>
        <w:rPr>
          <w:rFonts w:ascii="Arial" w:hAnsi="Arial" w:cs="Arial"/>
          <w:color w:val="000000" w:themeColor="text1"/>
          <w:sz w:val="24"/>
          <w:szCs w:val="24"/>
          <w:shd w:val="clear" w:color="auto" w:fill="FFFFFF" w:themeFill="background1"/>
        </w:rPr>
        <w:t>Dicho de otra manera:</w:t>
      </w:r>
      <w:r>
        <w:rPr>
          <w:rFonts w:ascii="Arial" w:hAnsi="Arial" w:cs="Arial"/>
          <w:color w:val="000000" w:themeColor="text1"/>
          <w:sz w:val="24"/>
          <w:szCs w:val="24"/>
        </w:rPr>
        <w:t xml:space="preserve"> ¿cómo podemos superar, por un lado, la tendencia de los llamados enfoques "universalistas" a descontextualizar las prácticas locales para hacerlas comparables y, por otro lado, la tendencia de los llamados enfoques “culturalistas” a enmascarar las características generales destacando la especificidad de las realidades observadas? </w:t>
      </w:r>
      <w:r>
        <w:rPr>
          <w:rFonts w:ascii="Arial" w:hAnsi="Arial" w:cs="Arial"/>
          <w:color w:val="000000" w:themeColor="text1"/>
          <w:sz w:val="24"/>
          <w:szCs w:val="24"/>
        </w:rPr>
        <w:fldChar w:fldCharType="begin"/>
      </w:r>
      <w:r>
        <w:rPr>
          <w:rFonts w:ascii="Arial" w:hAnsi="Arial" w:cs="Arial"/>
          <w:color w:val="000000" w:themeColor="text1"/>
          <w:sz w:val="24"/>
          <w:szCs w:val="24"/>
        </w:rPr>
        <w:instrText xml:space="preserve"> ADDIN ZOTERO_ITEM CSL_CITATION {"citationID":"JqGnHuOH","properties":{"formattedCitation":"(Suarez-Herrera &amp; Blain, 2012)","plainCitation":"(Suarez-Herrera &amp; Blain, 2012)","noteIndex":0},"citationItems":[{"id":6699,"uris":["http://zotero.org/users/2351503/items/PPALZKIA"],"itemData":{"id":6699,"type":"book","collection-number":"114","event-place":"Montréal (Québec, Canada)","number-of-pages":"276","publisher":"Cahiers scientifiques de l'ACFAS","publisher-place":"Montréal (Québec, Canada)","title":"La recherche en santé mondiale : perspectives socio-anthropologiques","author":[{"family":"Suarez-Herrera","given":"José Carlos"},{"family":"Blain","given":"Marie-Jeanne"}],"issued":{"date-parts":[["2012"]]}}}],"schema":"https://github.com/citation-style-language/schema/raw/master/csl-citation.json"} </w:instrText>
      </w:r>
      <w:r>
        <w:rPr>
          <w:rFonts w:ascii="Arial" w:hAnsi="Arial" w:cs="Arial"/>
          <w:color w:val="000000" w:themeColor="text1"/>
          <w:sz w:val="24"/>
          <w:szCs w:val="24"/>
        </w:rPr>
        <w:fldChar w:fldCharType="separate"/>
      </w:r>
      <w:r>
        <w:rPr>
          <w:rFonts w:ascii="Arial" w:hAnsi="Arial" w:cs="Arial"/>
          <w:color w:val="000000" w:themeColor="text1"/>
          <w:sz w:val="24"/>
          <w:szCs w:val="24"/>
        </w:rPr>
        <w:t>(Suarez-Herrera &amp; Blain, 2012)</w:t>
      </w:r>
      <w:r>
        <w:rPr>
          <w:rFonts w:ascii="Arial" w:hAnsi="Arial" w:cs="Arial"/>
          <w:color w:val="000000" w:themeColor="text1"/>
          <w:sz w:val="24"/>
          <w:szCs w:val="24"/>
        </w:rPr>
        <w:fldChar w:fldCharType="end"/>
      </w:r>
      <w:r>
        <w:rPr>
          <w:rFonts w:ascii="Arial" w:hAnsi="Arial" w:cs="Arial"/>
          <w:color w:val="000000" w:themeColor="text1"/>
          <w:sz w:val="24"/>
          <w:szCs w:val="24"/>
        </w:rPr>
        <w:t xml:space="preserve">. </w:t>
      </w:r>
    </w:p>
    <w:p w14:paraId="3CCC5347" w14:textId="77777777" w:rsidR="0093626A" w:rsidRPr="00634580" w:rsidRDefault="00000000" w:rsidP="005915A7">
      <w:pPr>
        <w:pStyle w:val="Ttulo1"/>
        <w:spacing w:before="120" w:after="120" w:line="360" w:lineRule="auto"/>
        <w:jc w:val="both"/>
        <w:rPr>
          <w:rFonts w:ascii="Arial" w:hAnsi="Arial" w:cs="Arial"/>
          <w:b/>
          <w:bCs/>
          <w:color w:val="auto"/>
          <w:sz w:val="24"/>
          <w:szCs w:val="24"/>
        </w:rPr>
      </w:pPr>
      <w:r w:rsidRPr="00634580">
        <w:rPr>
          <w:rFonts w:ascii="Arial" w:hAnsi="Arial" w:cs="Arial"/>
          <w:b/>
          <w:bCs/>
          <w:color w:val="auto"/>
          <w:sz w:val="24"/>
          <w:szCs w:val="24"/>
        </w:rPr>
        <w:t>Los desafíos de la investigación colaborativa en Salud Global</w:t>
      </w:r>
    </w:p>
    <w:p w14:paraId="05A3ADB4" w14:textId="77777777" w:rsidR="0093626A" w:rsidRPr="00634580" w:rsidRDefault="00000000" w:rsidP="005915A7">
      <w:pPr>
        <w:spacing w:after="0" w:line="360" w:lineRule="auto"/>
        <w:jc w:val="both"/>
        <w:rPr>
          <w:rFonts w:ascii="Arial" w:hAnsi="Arial" w:cs="Arial"/>
          <w:sz w:val="24"/>
          <w:szCs w:val="24"/>
          <w:lang w:val="en-US"/>
        </w:rPr>
      </w:pPr>
      <w:r>
        <w:rPr>
          <w:rFonts w:ascii="Arial" w:hAnsi="Arial" w:cs="Arial"/>
          <w:sz w:val="24"/>
          <w:szCs w:val="24"/>
        </w:rPr>
        <w:t xml:space="preserve">La dualidad de perspectivas analíticas inherente a la investigación colaborativa a escala internacional no está exenta de dificultades y problemas de diversa índole. </w:t>
      </w:r>
      <w:r>
        <w:rPr>
          <w:rFonts w:ascii="Arial" w:hAnsi="Arial" w:cs="Arial"/>
          <w:sz w:val="24"/>
          <w:szCs w:val="24"/>
        </w:rPr>
        <w:lastRenderedPageBreak/>
        <w:t xml:space="preserve">Así, encontramos problemas de orden </w:t>
      </w:r>
      <w:r>
        <w:rPr>
          <w:rFonts w:ascii="Arial" w:hAnsi="Arial" w:cs="Arial"/>
          <w:i/>
          <w:iCs/>
          <w:sz w:val="24"/>
          <w:szCs w:val="24"/>
        </w:rPr>
        <w:t>organizativo</w:t>
      </w: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 ADDIN ZOTERO_ITEM CSL_CITATION {"citationID":"9sLetcyZ","properties":{"formattedCitation":"(Miller &amp; Fox, 2001; Penn &amp; Watermeyer, 2018; Ridde &amp; Capelle, 2011; R\\uc0\\u246{}lfer et al., 2022)","plainCitation":"(Miller &amp; Fox, 2001; Penn &amp; Watermeyer, 2018; Ridde &amp; Capelle, 2011; Rölfer et al., 2022)","noteIndex":0},"citationItems":[{"id":22366,"uris":["http://zotero.org/users/2351503/items/7V6PCYXQ"],"itemData":{"id":22366,"type":"article-journal","abstract":"Early epistemology assumed that the observer (a) was independent of and distinct from the object being observed and (b) could validate objective reality in a language system called the laws of science. The authors offer something different. In arguing that knowledge is responsive to the culture in which it is embedded, they take a perspectival approach, gathering localized intentionality, context, social practices, and linguistic meaning (called ground) into the project of inquiry (called figure). Knowledge building, in other words, depends on the background and interests of the epistemic community that is generating knowledge.","container-title":"Administration &amp; Society","DOI":"10.1177/00953990122019613","ISSN":"0095-3997","issue":"6","language":"en","note":"publisher: SAGE Publications Inc","page":"668-685","source":"SAGE Journals","title":"The Epistemic Community","volume":"32","author":[{"family":"Miller","given":"Hugh T."},{"family":"Fox","given":"Charles J."}],"issued":{"date-parts":[["2001",1,1]]}}},{"id":8575,"uris":["http://zotero.org/users/2351503/items/CVXCEP7X"],"itemData":{"id":8575,"type":"chapter","abstract":"This chapter provides detailed evidence of verbal and non-verbal strategies which emerge in intercultural health interactions when there is no third party or cultural broker present. These strategies of collaboration include the use of code switching, management of terminological confusions and a range of non-verbal elements, including the use of props. The notion of ‘magic moments’ is described in relation to moments of connection, and some specific features such as metaphors, analogies and humour are exemplified. The language of adherence, informed consent and risk and uncertainty are considered and illustrated. The argument is made that diversity in the clinic may be a resource rather than a barrier and that the mutual effort needed to avoid misunderstandings is often successful.","collection-title":"Communicating in Professions and Organizations","container-title":"Communicating Across Cultures and Languages in the Health Care Setting: Voices of Care","event-place":"London","ISBN":"978-1-137-58100-6","language":"en","note":"DOI: 10.1057/978-1-137-58100-6_6","page":"207-261","publisher":"Palgrave Macmillan UK","publisher-place":"London","source":"Springer Link","title":"Verbal and Non-Verbal Dimensions of the Intercultural Health Setting","URL":"https://doi.org/10.1057/978-1-137-58100-6_6","author":[{"family":"Penn","given":"Claire"},{"family":"Watermeyer","given":"Jennifer"}],"editor":[{"family":"Penn","given":"Claire"},{"family":"Watermeyer","given":"Jennifer"}],"accessed":{"date-parts":[["2021",12,14]]},"issued":{"date-parts":[["2018"]]}}},{"id":4443,"uris":["http://zotero.org/users/2351503/items/CYZBAXZE"],"itemData":{"id":4443,"type":"article-journal","abstract":"Objectifs : La recherche en santé mondiale se réalise souvent sous la forme de partenariats Nord-Sud. Mais ce type de partenariats entraîne des défis particuliers. Cette étude vise à rendre compte du point de vue des acteurs sur ces défis afin de formuler quelques pistes de réflexions et d'actions concernant la formation des jeunes chercheurs. Méthodes : Il s'agit d'une étude qualitative à visée exploratoire. Les données proviennent d'entrevues approfondies (n=16) et d'un groupe de discussion (n=25) réalisés auprès de 41 personnes. Les discours ont été enregistrés puis retranscrits avant de faire l'objet d'une analyse thématique du contenu. Résultats : Les défis relevés concernent les difficultés de communication, les rapports de forces, les priorités de recherche, les différences dans la culture de recherche, l'environnement institutionnel et la carrière des chercheurs. Les chercheurs décrivent les conditions favorables au partenariat équitable et suggèrent des pistes de formations pour les jeunes chercheurs. Interprétation : Pour favoriser des partenariats équitables et durables, les chercheurs suggèrent de mieux former la nouvelle génération en favorisant notamment les échanges, les expériences de terrain, le mentorat et une position reflexive et autocritique. Objectives: Global health research often involves North-South partnerships. However, these types of partnerships present particular challenges. The aim of this study is to examine these challenges from the perspectives of those involved in order to formulate ideas for further discussion and action to support the training of young researchers. Methods: This is a qualitative study using an exploratory design. The data are taken from encounters with 41 persons in individual in-depth interviews (n=16) and a focus group (n=25). All encounters were audio-recorded and transcribed, and the content subsequently underwent thematic analysis. Results: The challenges identified were related to communication problems, power relationships, research priorities, differences in research culture, the institutional environment and researchers' careers. The researchers describe the conditions that support equitable partnerships and propose some ideas for the training of young researchers. Interpretation: To foster equitable and sustainable partnerships, the researchers suggest that the next generation would be better trained by focusing particularly on interactive discussions, field work, mentoring and the adoption of a reflective and self-critical mindset.","container-title":"Canadian Journal of Public Health / Revue Canadienne de Sante'e Publique","ISSN":"0008-4263","issue":"2","page":"152-156","source":"JSTOR","title":"La recherche en santé mondiale et les défis des partenariats Nord-Sud","volume":"102","author":[{"family":"Ridde","given":"Valéry"},{"family":"Capelle","given":"Florence"}],"issued":{"date-parts":[["2011"]]}}},{"id":8967,"uris":["http://zotero.org/users/2351503/items/CDW4K7ZU"],"itemData":{"id":8967,"type":"article-journal","abstract":"Knowledge co-production involving researchers and non-academic actors is becoming increasingly important for tackling sustainability issues. Coastal and marine social-ecological systems are one example where knowledge co-production is important, yet also particularly challenging due to their unique characteristics. Early-Career Researchers (ECRs) often face specific obstacles when engaging in the process of knowledge co-production. In this perspective paper, we shed light on the particular characteristics of knowledge co-production in marine social-ecological systems and the obstacles ECRs in the marine sciences face. Based on these obstacles, we discuss actions that can be taken at various organizational levels (institutional, community, supervisor, and individual) in order to leverage change towards a more inclusive environment for ECRs engaging in knowledge co-production. We conclude that both bottom-up (individual to institutions) and top-down (institutions to individual) actions are required. However, we emphasize the responsibilities of institutions to create conditions in which the needs of ECRs are met. This will be necessary to adequately support ECRs engaging in knowledge co-production and thus contribute to tackling sustainability challenges in coastal and marine social-ecological systems.","container-title":"Frontiers in Marine Science","ISSN":"2296-7745","source":"Frontiers","title":"Disentangling Obstacles to Knowledge Co-Production for Early-Career Researchers in the Marine Sciences","URL":"https://www.frontiersin.org/articles/10.3389/fmars.2022.893489","volume":"9","author":[{"family":"Rölfer","given":"Lena"},{"family":"Elias Ilosvay","given":"Xochitl E."},{"family":"Ferse","given":"Sebastian C.A."},{"family":"Jung","given":"Julia"},{"family":"Karcher","given":"Denis B."},{"family":"Kriegl","given":"Michael"},{"family":"Nijamdeen","given":"TWGF Mafaziya"},{"family":"Riechers","given":"Maraja"},{"family":"Walker","given":"Elizabeth Zoe"}],"accessed":{"date-parts":[["2022",7,24]]},"issued":{"date-parts":[["2022"]]}}}],"schema":"https://github.com/citation-style-language/schema/raw/master/csl-citation.json"} </w:instrText>
      </w:r>
      <w:r>
        <w:rPr>
          <w:rFonts w:ascii="Arial" w:hAnsi="Arial" w:cs="Arial"/>
          <w:sz w:val="24"/>
          <w:szCs w:val="24"/>
        </w:rPr>
        <w:fldChar w:fldCharType="separate"/>
      </w:r>
      <w:r>
        <w:rPr>
          <w:rFonts w:ascii="Arial" w:hAnsi="Arial" w:cs="Arial"/>
          <w:kern w:val="0"/>
          <w:sz w:val="24"/>
          <w:szCs w:val="24"/>
        </w:rPr>
        <w:t>(Miller &amp; Fox, 2001; Penn &amp; Watermeyer, 2018; Ridde &amp; Capelle, 2011; Rölfer et al., 2022)</w:t>
      </w:r>
      <w:r>
        <w:rPr>
          <w:rFonts w:ascii="Arial" w:hAnsi="Arial" w:cs="Arial"/>
          <w:sz w:val="24"/>
          <w:szCs w:val="24"/>
        </w:rPr>
        <w:fldChar w:fldCharType="end"/>
      </w:r>
      <w:r>
        <w:rPr>
          <w:rFonts w:ascii="Arial" w:hAnsi="Arial" w:cs="Arial"/>
          <w:sz w:val="24"/>
          <w:szCs w:val="24"/>
        </w:rPr>
        <w:t xml:space="preserve">, </w:t>
      </w:r>
      <w:r>
        <w:rPr>
          <w:rFonts w:ascii="Arial" w:hAnsi="Arial" w:cs="Arial"/>
          <w:i/>
          <w:iCs/>
          <w:sz w:val="24"/>
          <w:szCs w:val="24"/>
        </w:rPr>
        <w:t>epistemológico</w:t>
      </w: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 ADDIN ZOTERO_ITEM CSL_CITATION {"citationID":"c5ynH0UZ","properties":{"formattedCitation":"(Brun, 2017; Marshall &amp; Batten, 2004; Nemeth et al., 2016; Sarriot &amp; Kouletio, 2015; Suarez-Herrera et al., 2013; Tanabe et al., 2017)","plainCitation":"(Brun, 2017; Marshall &amp; Batten, 2004; Nemeth et al., 2016; Sarriot &amp; Kouletio, 2015; Suarez-Herrera et al., 2013; Tanabe et al., 2017)","noteIndex":0},"citationItems":[{"id":4778,"uris":["http://zotero.org/users/2351503/items/395C4LEW"],"itemData":{"id":4778,"type":"article-journal","abstract":"Le mouvement atd Quart Monde et le Conservatoire national des arts et m&amp;#233;tiers (Cnam) ont organis&amp;#233; en 2015-2016 un s&amp;#233;minaire &amp;#233;pist&amp;#233;mologique autour des recherches participatives en croisement des savoirs avec des repr&amp;#233;sentants de milieux de pauvret&amp;#233; et des professionnels. Le but &amp;#233;tait d&amp;#8217;&amp;#233;tablir les plus-values de recherches acad&amp;#233;miques men&amp;#233;es en croisement des savoirs avec ces acteurs et de pr&amp;#233;parer un appel aux chercheurs en faveur de cette d&amp;#233;marche.Trois probl&amp;#233;matiques ont structur&amp;#233; nos r&amp;#233;flexions&amp;#8239;: la nature des savoirs exp&amp;#233;rientiels et les questions pos&amp;#233;es par la mise en dialogue de ces savoirs avec les savoirs acad&amp;#233;miques&amp;#8239;; les conditions du processus relationnel mis en &amp;#339;uvre dans le croisement&amp;#8239;; enfin, les crit&amp;#232;res de validation compte tenu des finalit&amp;#233;s diff&amp;#233;rentes des participants et les modalit&amp;#233;s d&amp;#8217;une co-validation.Des consensus ont &amp;#233;t&amp;#233; act&amp;#233;s, les b&amp;#233;n&amp;#233;fices attendus pour chacun des co-chercheurs identifi&amp;#233;s et un certain nombre de d&amp;#233;bats men&amp;#233;s ouvrant sur un travail d&amp;#8217;approfondissement de cette forme de recherche.","container-title":"Vie sociale","ISSN":"0042-5605","issue":"4","language":"fr","page":"45-52","source":"www-cairn-info.ezproxy.kedgebs.com","title":"Le croisement des savoirs dans les recherches participatives. Questions épistémologiques","volume":"n° 20","author":[{"family":"Brun","given":"Patrick"}],"issued":{"date-parts":[["2017"]]}}},{"id":22387,"uris":["http://zotero.org/users/2351503/items/YKYQPPIY"],"itemData":{"id":22387,"type":"article-journal","abstract":"Kulturelle Unterschiede manifestieren sich in allen Beziehungen, Forschungsbeziehungen eingeschlossen. Akademische Forschung wird über verschiedene Kulturen hinweg durchgeführt, die nicht durch ethnische Grenzen beschrieben werden können. Welche Dimensionen müssen akademische Forscher und Forscherinnen besonders berücksichtigen, wenn sie interkulturelle Projekte konzipieren und umsetzen? Eine Durchsicht der relevanten Literatur zeigt, dass ethische Fragen immer schon mit Machtaspekten in der Forschungsbeziehung verbunden sind: Zustimmung, der Prozess des Forschens, Forschungsdesign, Dateneigentum und Datennutzung ergeben sich in der Folge als wichtige Dimension zum Verstehen von Ethik und Macht.\nURN: urn:nbn:de:0114-fqs0403396","container-title":"Forum Qualitative Sozialforschung / Forum: Qualitative Social Research","DOI":"10.17169/fqs-5.3.572","ISSN":"1438-5627","issue":"3","language":"en","license":"Copyright (c) 2004 Anne Marshall, Suzanne Batten","note":"number: 3","source":"www.qualitative-research.net","title":"Researching Across Cultures: Issues of Ethics and Power","title-short":"Researching Across Cultures","URL":"https://www.qualitative-research.net/index.php/fqs/article/view/572","volume":"5","author":[{"family":"Marshall","given":"Anne"},{"family":"Batten","given":"Suzanne"}],"accessed":{"date-parts":[["2023",6,19]]},"issued":{"date-parts":[["2004",9,30]]}}},{"id":8835,"uris":["http://zotero.org/users/2351503/items/2CPU2KD5"],"itemData":{"id":8835,"type":"article-journal","abstract":"Treatment for acute ischemic stroke must be initiated within hours of stroke symptom onset, and the sooner it is administered, the better. In South Carolina, 76% of the population can access expert stroke care, and rural hospitals may provide specialized treatment using telemedicine, but many stroke sufferers seek care too late to achieve full benefit. Using a community-engaged approach in a southern rural community, we explored barriers and facilitators to early stroke care and implications for improvement. The Community-Engaged Assessment to facilitate Stroke Elimination (CEASE) study was guided by a community advisory group to ensure community centeredness and local relevance. In a qualitative descriptive study, eight focus groups were conducted including 52 individuals: recent stroke survivors, family members, emergency medical personnel, hospital emergency department staff, primary care providers, and community leaders. From analysis of focus group transcripts came six themes: lack of trust in healthcare system and providers; weak relationships fueled by poor communication; low health literacy; financial limitations related to health care; community-based education; and faith as a message of hope. A hierarchy model for improving early community-based stroke care was developed through consensus dialogue by community representatives and the research team. This model can be used to inform a community-partnered, stakeholder-informed intervention to improve stroke care in a rural southern community with the goal of improving stroke education, care, and outcome. © 2016 Wiley Periodicals, Inc.","container-title":"Research in Nursing &amp; Health","DOI":"10.1002/nur.21749","ISSN":"1098-240X","issue":"6","journalAbbreviation":"Res Nurs Health","language":"eng","note":"PMID: 27545591\nPMCID: PMC5118187","page":"438-448","source":"PubMed","title":"A Community-Engaged Assessment of Barriers and Facilitators to Rapid Stroke Treatment","volume":"39","author":[{"family":"Nemeth","given":"Lynne S."},{"family":"Jenkins","given":"Carolyn"},{"family":"Jauch","given":"Edward C."},{"family":"Conway","given":"Sharon"},{"family":"Pearlman","given":"Adam"},{"family":"Spruill","given":"Ida J."},{"family":"Brown","given":"Lynette J."},{"family":"Linnen","given":"Joyce"},{"family":"Linnen","given":"Florene"},{"family":"Andrews","given":"Jeannette O."}],"issued":{"date-parts":[["2016",12]]}}},{"id":7711,"uris":["http://zotero.org/users/2351503/items/F649VZ4U"],"itemData":{"id":7711,"type":"article-journal","abstract":"The global health and development field, which has been reasonably dominated by linear models of planning, is witnessing increased interest in complexity, non-linear processes, and systems thinking. This welcome interest is challenged by both language and ability to discern whether complex development phenomena are discussed from the perspective of the nature of particular health systems (ontology), from the identification of more fitting intervention modalities (praxis), or from our approach to learning and evidence (epistemology). This paper is an experience-based contribution to the first two perspectives. Two Bangladeshi municipal health systems provide an example of how sustainable outcomes were achieved through complex adaptive system behaviors, during and after intervention by Concern Worldwide, Inc. (Concern). Concern provided support to the Municipal Health Departments and then assessed the sustainability of health achievements several years after its intervention. We examine complexity in municipal health systems behavior, and the nonlinearity of project effects. We identify ways in which Concern’s program, beyond technical design, followed recommendations on leading complex systems towards positive sustainable outcomes. We conclude on the necessity for global community health planners and practitioners to (1) better understand the complexity of the context and issues they are facing, (2) make more reasonable assumptions about the “shock to the system” caused by projects both when they start and when they end, and (3) learn to balance strategic designs with respect for self-organization principles.","container-title":"Systemic Practice and Action Research","DOI":"10.1007/s11213-014-9329-9","ISSN":"1573-9295","issue":"3","journalAbbreviation":"Syst Pract Action Res","language":"en","page":"255-272","source":"Springer Link","title":"Community Health Systems as Complex Adaptive Systems: Ontology and Praxis Lessons from an Urban Health Experience with Demonstrated Sustainability","title-short":"Community Health Systems as Complex Adaptive Systems","volume":"28","author":[{"family":"Sarriot","given":"Eric"},{"family":"Kouletio","given":"Michelle"}],"issued":{"date-parts":[["2015",6,1]]}}},{"id":7192,"uris":["http://zotero.org/users/2351503/items/A6ZB5P44"],"itemData":{"id":7192,"type":"article-journal","abstract":"À la lumière des fondements conceptuels de la « théorie de l’acteur-réseau » (Callon, 1986; Latour, 2005), cet article développe une perspective innovatrice sur la pratique de la recherche participative en CSSS-CAU. Pour ce faire, nous montrerons comment certaines pratiques participatives associées à la recherche s’organisent graduellement sous forme de réseaux innovateurs de traduction des savoirs. Le cas du partenariat ARIMA, mis en oeuvre au Québec par le Centre de recherche et de partage des savoirs InterActions, servira d’illustration. La configuration partenariale de ce réseau est associée à de nombreuses traductions potentiellement transformatrices, ce qui lui donne une perspective de recherche innovatrice qui se construit dans un contexte complexe de mobilisation des savoirs intersectoriels.","container-title":"Nouvelles pratiques sociales","DOI":"https://doi.org/10.7202/1020822ar","ISSN":"0843-4468, 1703-9312","issue":"2","journalAbbreviation":"nps","language":"fr","page":"73-88","source":"www.erudit.org","title":"La recherche participative en CSSS-CAU : le cas du partenariat ARIMA comme réseau innovateur de traduction des savoirs","title-short":"La recherche participative en CSSS-CAU","volume":"25","author":[{"family":"Suarez-Herrera","given":"José Carlos"},{"family":"White","given":"Deena"},{"family":"Battaglini","given":"Alex"}],"issued":{"date-parts":[["2013"]]}}},{"id":4511,"uris":["http://zotero.org/users/2351503/items/763Z7VY4"],"itemData":{"id":4511,"type":"article-journal","abstract":"Standard approaches to data collection can present challenges to persons with disabilities participating in research processes. The Women's Refugee Commission applied a participatory model to examine the intersections of sexual and reproductive health and disability in Kenya, Nepal, and Uganda. Respecting the Convention on the Rights of Persons with Disabilities and a rights-based framework to research, the study engaged a variety of stakeholders—including organizations of persons with disabilities—from its inception and design, through to implementation and recommendation formulation. In Nepal especially, persons with disabilities played a central role in gathering the information from refugee women, men, and adolescents with physical, intellectual, sensory, and psychosocial impairments. Reasonable accommodations for the data collectors included the provision of personal assistants, vehicles for movement, sign language interpretation, Braille documents, and tactile ink-based diagrams; use of a “talking pen;” and creation of a “supporter” role in the facilitation process. Daily debriefings provided opportunities for collective improvement and reflection. The study offers considerations for other researchers to extend their research—on the part of the study participants and in the research process itself—to operationalize a rights-based, inclusive, and empowering approach to qualitative research.","container-title":"Action Research","DOI":"10.1177/1476750316685878","ISSN":"1476-7503","journalAbbreviation":"Action Research","language":"en","page":"1476750316685878","source":"SAGE Journals","title":"“Nothing about us, without us”: Conducting participatory action research among and with persons with disabilities in humanitarian settings","title-short":"“Nothing about us, without us”","author":[{"family":"Tanabe","given":"Mihoko"},{"family":"Pearce","given":"Emma"},{"family":"Krause","given":"Sandra K"}],"issued":{"date-parts":[["2017",2,14]]}}}],"schema":"https://github.com/citation-style-language/schema/raw/master/csl-citation.json"} </w:instrText>
      </w:r>
      <w:r>
        <w:rPr>
          <w:rFonts w:ascii="Arial" w:hAnsi="Arial" w:cs="Arial"/>
          <w:sz w:val="24"/>
          <w:szCs w:val="24"/>
        </w:rPr>
        <w:fldChar w:fldCharType="separate"/>
      </w:r>
      <w:r>
        <w:rPr>
          <w:rFonts w:ascii="Arial" w:hAnsi="Arial" w:cs="Arial"/>
          <w:sz w:val="24"/>
          <w:szCs w:val="24"/>
        </w:rPr>
        <w:t>(Brun, 2017; Marshall &amp; Batten, 2004; Nemeth et al., 2016; Sarriot &amp; Kouletio, 2015; Suarez-Herrera et al., 2013; Tanabe et al., 2017)</w:t>
      </w:r>
      <w:r>
        <w:rPr>
          <w:rFonts w:ascii="Arial" w:hAnsi="Arial" w:cs="Arial"/>
          <w:sz w:val="24"/>
          <w:szCs w:val="24"/>
        </w:rPr>
        <w:fldChar w:fldCharType="end"/>
      </w:r>
      <w:r>
        <w:rPr>
          <w:rFonts w:ascii="Arial" w:hAnsi="Arial" w:cs="Arial"/>
          <w:sz w:val="24"/>
          <w:szCs w:val="24"/>
        </w:rPr>
        <w:t xml:space="preserve"> y </w:t>
      </w:r>
      <w:r>
        <w:rPr>
          <w:rFonts w:ascii="Arial" w:hAnsi="Arial" w:cs="Arial"/>
          <w:i/>
          <w:iCs/>
          <w:sz w:val="24"/>
          <w:szCs w:val="24"/>
        </w:rPr>
        <w:t>ético</w:t>
      </w: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 ADDIN ZOTERO_ITEM CSL_CITATION {"citationID":"9GIpJ1dS","properties":{"formattedCitation":"(Bhutta, 2002; Flicker et al., 2007; Marshall &amp; Batten, 2004; Pratt et al., 2018; Wright, 2020)","plainCitation":"(Bhutta, 2002; Flicker et al., 2007; Marshall &amp; Batten, 2004; Pratt et al., 2018; Wright, 2020)","noteIndex":0},"citationItems":[{"id":7541,"uris":["http://zotero.org/users/2351503/items/K3KNF5V3"],"itemData":{"id":7541,"type":"article-journal","abstract":"Health research plays a pivotal role in addressing inequities in health and human development, but to achieve these objectives the research must be based on sound scientific and ethical principles. Although it is accepted that ethics play a central role in health research in developing countries, much of the recent debate has focused on controversies surrounding internationally sponsored research and has taken place largely without adequate participation of the developing countries. The relationship between ethical guidelines and regulations, and indigenously sponsored and public health research has not been adequately explored. For example, while the fundamental principles of ethical health research, such as community participation, informed consent, and shared benefits and burdens, remain sacrosanct other issues, such as standards of care and prior agreements, merit greater public debate within developing countries. In particular, the relationship of existing ethical guidelines to epidemiological and public health research merits further exploration. In order to support health research in developing countries that is both relevant and meaningful, the focus must be on developing health research that promotes equity and on developing local capacity in bioethics. Only through such proactive measures can we address the emerging ethical dilemmas and challenges that globalization and the genomics revolution will bring in their wake.","container-title":"Bulletin of the World Health Organization","DOI":"10.1590/S0042-96862002000200006","ISSN":"0042-9686, 0042-9686","journalAbbreviation":"Bull World Health Organ","language":"en","page":"114-120","source":"SciELO","title":"Ethics in international health research: a perspective from the developing world","title-short":"Ethics in international health research","volume":"80","author":[{"family":"Bhutta","given":"Zulfiqar Ahmed"}],"issued":{"date-parts":[["2002"]]}}},{"id":22229,"uris":["http://zotero.org/users/2351503/items/TN2HYJS3"],"itemData":{"id":22229,"type":"article-journal","abstract":"National and international codes of research conduct have been established in most industrialized nations to ensure greater adherence to ethical research practices. Despite these safeguards, however, traditional research approaches often continue to stigmatize marginalized and vulnerable communities. Community-based participatory research (CBPR) has evolved as an effective new research paradigm that attempts to make research a more inclusive and democratic process by fostering the development of partnerships between communities and academics to address community-relevant research priorities. As such, it attempts to redress ethical concerns that have emerged out of more traditional paradigms. Nevertheless, new and emerging ethical dilemmas are commonly associated with CBPR and are rarely addressed in traditional ethical reviews. We conducted a content analysis of forms and guidelines commonly used by institutional review boards (IRBs) in the USA and research ethics boards (REBs) in Canada. Our intent was to see if the forms used by boards reflected common CBPR experience. We drew our sample from affiliated members of the US-based Association of Schools of Public Health and from Canadian universities that offered graduate public health training. This convenience sample (n = 30) was garnered from programs where application forms were available online for download between July and August, 2004. Results show that ethical review forms and guidelines overwhelmingly operate within a biomedical framework that rarely takes into account common CBPR experience. They are primarily focused on the principle of assessing risk to individuals and not to communities and continue to perpetuate the notion that the domain of \"knowledge production\" is the sole right of academic researchers. Consequently, IRBs and REBs may be unintentionally placing communities at risk by continuing to use procedures inappropriate or unsuitable for CBPR. IRB/REB procedures require a new framework more suitable for CBPR, and we propose alternative questions and procedures that may be utilized when assessing the ethical appropriateness of CBPR.","container-title":"Journal of Urban Health: Bulletin of the New York Academy of Medicine","DOI":"10.1007/s11524-007-9165-7","ISSN":"1099-3460","issue":"4","journalAbbreviation":"J Urban Health","language":"eng","note":"PMID: 17436114\nPMCID: PMC2219570","page":"478-493","source":"PubMed","title":"Ethical dilemmas in community-based participatory research: recommendations for institutional review boards","title-short":"Ethical dilemmas in community-based participatory research","volume":"84","author":[{"family":"Flicker","given":"Sarah"},{"family":"Travers","given":"Robb"},{"family":"Guta","given":"Adrian"},{"family":"McDonald","given":"Sean"},{"family":"Meagher","given":"Aileen"}],"issued":{"date-parts":[["2007",7]]}}},{"id":22387,"uris":["http://zotero.org/users/2351503/items/YKYQPPIY"],"itemData":{"id":22387,"type":"article-journal","abstract":"Kulturelle Unterschiede manifestieren sich in allen Beziehungen, Forschungsbeziehungen eingeschlossen. Akademische Forschung wird über verschiedene Kulturen hinweg durchgeführt, die nicht durch ethnische Grenzen beschrieben werden können. Welche Dimensionen müssen akademische Forscher und Forscherinnen besonders berücksichtigen, wenn sie interkulturelle Projekte konzipieren und umsetzen? Eine Durchsicht der relevanten Literatur zeigt, dass ethische Fragen immer schon mit Machtaspekten in der Forschungsbeziehung verbunden sind: Zustimmung, der Prozess des Forschens, Forschungsdesign, Dateneigentum und Datennutzung ergeben sich in der Folge als wichtige Dimension zum Verstehen von Ethik und Macht.\nURN: urn:nbn:de:0114-fqs0403396","container-title":"Forum Qualitative Sozialforschung / Forum: Qualitative Social Research","DOI":"10.17169/fqs-5.3.572","ISSN":"1438-5627","issue":"3","language":"en","license":"Copyright (c) 2004 Anne Marshall, Suzanne Batten","note":"number: 3","source":"www.qualitative-research.net","title":"Researching Across Cultures: Issues of Ethics and Power","title-short":"Researching Across Cultures","URL":"https://www.qualitative-research.net/index.php/fqs/article/view/572","volume":"5","author":[{"family":"Marshall","given":"Anne"},{"family":"Batten","given":"Suzanne"}],"accessed":{"date-parts":[["2023",6,19]]},"issued":{"date-parts":[["2004",9,30]]}}},{"id":8919,"uris":["http://zotero.org/users/2351503/items/UTXSKGPG"],"itemData":{"id":8919,"type":"article-journal","abstract":"Thus far, little work in bioethics has specifically focused on global health research priority-setting. Yet features of global health research priority-setting raise ethical considerations and concerns related to health justice. For example, such processes are often exclusively disease-driven, meaning they rely heavily on burden of disease considerations. They, therefore, tend to undervalue non-biomedical research topics, which have been identified as essential to helping reduce health disparities. In recognition of these ethical concerns and the limited scholarship and dialogue addressing them, we convened an international workshop in September 2015. The workshop aimed to initiate discussion on the appropriate relationship between gl</w:instrText>
      </w:r>
      <w:r w:rsidRPr="00634580">
        <w:rPr>
          <w:rFonts w:ascii="Arial" w:hAnsi="Arial" w:cs="Arial"/>
          <w:sz w:val="24"/>
          <w:szCs w:val="24"/>
          <w:lang w:val="en-US"/>
        </w:rPr>
        <w:instrText xml:space="preserve">obal and national levels of health research priority-setting and to begin exploring what might be ethically required for priority-setting at each of those levels.","container-title":"BMC Medical Ethics","DOI":"10.1186/s12910-018-0333-y","ISSN":"1472-6939","issue":"1","journalAbbreviation":"BMC Medical Ethics","page":"94","source":"BioMed Central","title":"Exploring the ethics of global health research priority-setting","volume":"19","author":[{"family":"Pratt","given":"Bridget"},{"family":"Sheehan","given":"Mark"},{"family":"Barsdorf","given":"Nicola"},{"family":"Hyder","given":"Adnan A."}],"issued":{"date-parts":[["2018",12,6]]}}},{"id":7547,"uris":["http://zotero.org/users/2351503/items/D2A3KS88"],"itemData":{"id":7547,"type":"article-journal","abstract":"Abstract. The ethical challenges of global health research become particularly acute in emergency contexts, and are exacerbated by historic inequities and imbal","container-title":"International Health","DOI":"10.1093/inthealth/ihaa053","issue":"6","journalAbbreviation":"Int Health","language":"en","page":"515-517","source":"academic.oup.com","title":"Ethical research in global health emergencies: making the case for a broader understanding of ‘research ethics’","title-short":"Ethical research in global health emergencies","volume":"12","author":[{"family":"Wright","given":"Katharine S."}],"issued":{"date-parts":[["2020",11,9]]}}}],"schema":"https://github.com/citation-style-language/schema/raw/master/csl-citation.json"} </w:instrText>
      </w:r>
      <w:r>
        <w:rPr>
          <w:rFonts w:ascii="Arial" w:hAnsi="Arial" w:cs="Arial"/>
          <w:sz w:val="24"/>
          <w:szCs w:val="24"/>
        </w:rPr>
        <w:fldChar w:fldCharType="separate"/>
      </w:r>
      <w:r w:rsidRPr="00634580">
        <w:rPr>
          <w:rFonts w:ascii="Arial" w:hAnsi="Arial" w:cs="Arial"/>
          <w:sz w:val="24"/>
          <w:szCs w:val="24"/>
          <w:lang w:val="en-US"/>
        </w:rPr>
        <w:t>(Bhutta, 2002; Flicker et al., 2007; Marshall &amp; Batten, 2004; Pratt et al., 2018; Wright, 2020)</w:t>
      </w:r>
      <w:r>
        <w:rPr>
          <w:rFonts w:ascii="Arial" w:hAnsi="Arial" w:cs="Arial"/>
          <w:sz w:val="24"/>
          <w:szCs w:val="24"/>
        </w:rPr>
        <w:fldChar w:fldCharType="end"/>
      </w:r>
      <w:r w:rsidRPr="00634580">
        <w:rPr>
          <w:rFonts w:ascii="Arial" w:hAnsi="Arial" w:cs="Arial"/>
          <w:sz w:val="24"/>
          <w:szCs w:val="24"/>
          <w:lang w:val="en-US"/>
        </w:rPr>
        <w:t>.</w:t>
      </w:r>
    </w:p>
    <w:p w14:paraId="734B7CDF" w14:textId="77777777" w:rsidR="0093626A" w:rsidRDefault="00000000" w:rsidP="005915A7">
      <w:pPr>
        <w:spacing w:after="0" w:line="360" w:lineRule="auto"/>
        <w:jc w:val="both"/>
        <w:rPr>
          <w:rFonts w:ascii="Arial" w:hAnsi="Arial" w:cs="Arial"/>
          <w:sz w:val="24"/>
          <w:szCs w:val="24"/>
        </w:rPr>
      </w:pPr>
      <w:r>
        <w:rPr>
          <w:rFonts w:ascii="Arial" w:hAnsi="Arial" w:cs="Arial"/>
          <w:sz w:val="24"/>
          <w:szCs w:val="24"/>
        </w:rPr>
        <w:t xml:space="preserve">La </w:t>
      </w:r>
      <w:r>
        <w:rPr>
          <w:rFonts w:ascii="Arial" w:hAnsi="Arial" w:cs="Arial"/>
          <w:i/>
          <w:iCs/>
          <w:sz w:val="24"/>
          <w:szCs w:val="24"/>
        </w:rPr>
        <w:t>dimensión organizacional</w:t>
      </w:r>
      <w:r>
        <w:rPr>
          <w:rFonts w:ascii="Arial" w:hAnsi="Arial" w:cs="Arial"/>
          <w:sz w:val="24"/>
          <w:szCs w:val="24"/>
        </w:rPr>
        <w:t xml:space="preserve"> es un tema clave en la implementación de proyectos de investigación con una perspectiva colaborativa:</w:t>
      </w:r>
    </w:p>
    <w:p w14:paraId="320276D7" w14:textId="77777777" w:rsidR="0093626A" w:rsidRDefault="00000000" w:rsidP="005915A7">
      <w:pPr>
        <w:pStyle w:val="Prrafodelista"/>
        <w:numPr>
          <w:ilvl w:val="0"/>
          <w:numId w:val="8"/>
        </w:numPr>
        <w:shd w:val="clear" w:color="auto" w:fill="FFFFFF" w:themeFill="background1"/>
        <w:spacing w:after="0" w:line="360" w:lineRule="auto"/>
        <w:ind w:left="714" w:hanging="357"/>
        <w:contextualSpacing w:val="0"/>
        <w:jc w:val="both"/>
        <w:rPr>
          <w:rFonts w:ascii="Arial" w:hAnsi="Arial" w:cs="Arial"/>
          <w:sz w:val="24"/>
          <w:szCs w:val="24"/>
        </w:rPr>
      </w:pPr>
      <w:r>
        <w:rPr>
          <w:rFonts w:ascii="Arial" w:hAnsi="Arial" w:cs="Arial"/>
          <w:sz w:val="24"/>
          <w:szCs w:val="24"/>
        </w:rPr>
        <w:t xml:space="preserve">En primer lugar, la selección del terreno de investigación no siempre </w:t>
      </w:r>
      <w:r>
        <w:rPr>
          <w:rFonts w:ascii="Arial" w:hAnsi="Arial" w:cs="Arial"/>
          <w:sz w:val="24"/>
          <w:szCs w:val="24"/>
          <w:shd w:val="clear" w:color="auto" w:fill="FFFFFF" w:themeFill="background1"/>
        </w:rPr>
        <w:t>resulta tarea fácil</w:t>
      </w:r>
      <w:r>
        <w:rPr>
          <w:rFonts w:ascii="Arial" w:hAnsi="Arial" w:cs="Arial"/>
          <w:sz w:val="24"/>
          <w:szCs w:val="24"/>
        </w:rPr>
        <w:t xml:space="preserve"> debido a las limitaciones relacionadas con los tipos de apoyo institucional </w:t>
      </w:r>
      <w:r>
        <w:rPr>
          <w:rFonts w:ascii="Arial" w:hAnsi="Arial" w:cs="Arial"/>
          <w:sz w:val="24"/>
          <w:szCs w:val="24"/>
        </w:rPr>
        <w:fldChar w:fldCharType="begin"/>
      </w:r>
      <w:r>
        <w:rPr>
          <w:rFonts w:ascii="Arial" w:hAnsi="Arial" w:cs="Arial"/>
          <w:sz w:val="24"/>
          <w:szCs w:val="24"/>
        </w:rPr>
        <w:instrText xml:space="preserve"> ADDIN ZOTERO_ITEM CSL_CITATION {"citationID":"5DywAU9G","properties":{"formattedCitation":"(R\\uc0\\u246{}lfer et al., 2022)","plainCitation":"(Rölfer et al., 2022)","noteIndex":0},"citationItems":[{"id":8967,"uris":["http://zotero.org/users/2351503/items/CDW4K7ZU"],"itemData":{"id":8967,"type":"article-journal","abstract":"Knowledge co-production involving researchers and non-academic actors is becoming increasingly important for tackling sustainability issues. Coastal and marine social-ecological systems are one example where knowledge co-production is important, yet also particularly challenging due to their unique characteristics. Early-Career Researchers (ECRs) often face specific obstacles when engaging in the process of knowledge co-production. In this perspective paper, we shed light on the particular characteristics of knowledge co-production in marine social-ecological systems and the obstacles ECRs in the marine sciences face. Based on these obstacles, we discuss actions that can be taken at various organizational levels (institutional, community, supervisor, and individual) in order to leverage change towards a more inclusive environment for ECRs engaging in knowledge co-production. We conclude that both bottom-up (individual to institutions) and top-down (institutions to individual) actions are required. However, we emphasize the responsibilities of institutions to create conditions in which the needs of ECRs are met. This will be necessary to adequately support ECRs engaging in knowledge co-production and thus contribute to tackling sustainability challenges in coastal and marine social-ecological systems.","container-title":"Frontiers in Marine Science","ISSN":"2296-7745","source":"Frontiers","title":"Disentangling Obstacles to Knowledge Co-Production for Early-Career Researchers in the Marine Sciences","URL":"https://www.frontiersin.org/articles/10.3389/fmars.2022.893489","volume":"9","author":[{"family":"Rölfer","given":"Lena"},{"family":"Elias Ilosvay","given":"Xochitl E."},{"family":"Ferse","given":"Sebastian C.A."},{"family":"Jung","given":"Julia"},{"family":"Karcher","given":"Denis B."},{"family":"Kriegl","given":"Michael"},{"family":"Nijamdeen","given":"TWGF Mafaziya"},{"family":"Riechers","given":"Maraja"},{"family":"Walker","given":"Elizabeth Zoe"}],"accessed":{"date-parts":[["2022",7,24]]},"issued":{"date-parts":[["2022"]]}}}],"schema":"https://github.com/citation-style-language/schema/raw/master/csl-citation.json"} </w:instrText>
      </w:r>
      <w:r>
        <w:rPr>
          <w:rFonts w:ascii="Arial" w:hAnsi="Arial" w:cs="Arial"/>
          <w:sz w:val="24"/>
          <w:szCs w:val="24"/>
        </w:rPr>
        <w:fldChar w:fldCharType="separate"/>
      </w:r>
      <w:r>
        <w:rPr>
          <w:rFonts w:ascii="Arial" w:hAnsi="Arial" w:cs="Arial"/>
          <w:kern w:val="0"/>
          <w:sz w:val="24"/>
          <w:szCs w:val="24"/>
        </w:rPr>
        <w:t>(Rölfer et al., 2022)</w:t>
      </w:r>
      <w:r>
        <w:rPr>
          <w:rFonts w:ascii="Arial" w:hAnsi="Arial" w:cs="Arial"/>
          <w:sz w:val="24"/>
          <w:szCs w:val="24"/>
        </w:rPr>
        <w:fldChar w:fldCharType="end"/>
      </w:r>
      <w:r>
        <w:rPr>
          <w:rFonts w:ascii="Arial" w:hAnsi="Arial" w:cs="Arial"/>
          <w:sz w:val="24"/>
          <w:szCs w:val="24"/>
        </w:rPr>
        <w:t xml:space="preserve">. Estas opciones a menudo dependen de factores contextuales externos al proceso de investigación, </w:t>
      </w:r>
      <w:r>
        <w:rPr>
          <w:rFonts w:ascii="Arial" w:hAnsi="Arial" w:cs="Arial"/>
          <w:sz w:val="24"/>
          <w:szCs w:val="24"/>
          <w:shd w:val="clear" w:color="auto" w:fill="FFFFFF" w:themeFill="background1"/>
        </w:rPr>
        <w:t>ya sean éstos de índole política o financiera</w:t>
      </w:r>
      <w:r>
        <w:rPr>
          <w:rFonts w:ascii="Arial" w:hAnsi="Arial" w:cs="Arial"/>
          <w:sz w:val="24"/>
          <w:szCs w:val="24"/>
        </w:rPr>
        <w:t>.</w:t>
      </w:r>
    </w:p>
    <w:p w14:paraId="2395EB73" w14:textId="77777777" w:rsidR="0093626A" w:rsidRDefault="00000000" w:rsidP="005915A7">
      <w:pPr>
        <w:pStyle w:val="Prrafodelista"/>
        <w:numPr>
          <w:ilvl w:val="0"/>
          <w:numId w:val="8"/>
        </w:numPr>
        <w:spacing w:after="0" w:line="360" w:lineRule="auto"/>
        <w:ind w:left="714" w:hanging="357"/>
        <w:contextualSpacing w:val="0"/>
        <w:jc w:val="both"/>
        <w:rPr>
          <w:rFonts w:ascii="Arial" w:hAnsi="Arial" w:cs="Arial"/>
          <w:sz w:val="24"/>
          <w:szCs w:val="24"/>
        </w:rPr>
      </w:pPr>
      <w:r>
        <w:rPr>
          <w:rFonts w:ascii="Arial" w:hAnsi="Arial" w:cs="Arial"/>
          <w:sz w:val="24"/>
          <w:szCs w:val="24"/>
        </w:rPr>
        <w:t xml:space="preserve">La formación de equipos de trabajo más o menos equilibrados también puede obstaculizar las negociaciones y acuerdos necesarios para iniciar el proceso de investigación. A menudo son los grupos occidentales los que imponen sus procedimientos de investigación, basados en el rendimiento y la productividad </w:t>
      </w:r>
      <w:r>
        <w:rPr>
          <w:rFonts w:ascii="Arial" w:hAnsi="Arial" w:cs="Arial"/>
          <w:sz w:val="24"/>
          <w:szCs w:val="24"/>
        </w:rPr>
        <w:fldChar w:fldCharType="begin"/>
      </w:r>
      <w:r>
        <w:rPr>
          <w:rFonts w:ascii="Arial" w:hAnsi="Arial" w:cs="Arial"/>
          <w:sz w:val="24"/>
          <w:szCs w:val="24"/>
        </w:rPr>
        <w:instrText xml:space="preserve"> ADDIN ZOTERO_ITEM CSL_CITATION {"citationID":"Ehwqr6RX","properties":{"formattedCitation":"(Ridde &amp; Capelle, 2011)","plainCitation":"(Ridde &amp; Capelle, 2011)","noteIndex":0},"citationItems":[{"id":4443,"uris":["http://zotero.org/users/2351503/items/CYZBAXZE"],"itemData":{"id":4443,"type":"article-journal","abstract":"Objectifs : La recherche en santé mondiale se réalise souvent sous la forme de partenariats Nord-Sud. Mais ce type de partenariats entraîne des défis particuliers. Cette étude vise à rendre compte du point de vue des acteurs sur ces défis afin de formuler quelques pistes de réflexions et d'actions concernant la formation des jeunes chercheurs. Méthodes : Il s'agit d'une étude qualitative à visée exploratoire. Les données proviennent d'entrevues approfondies (n=16) et d'un groupe de discussion (n=25) réalisés auprès de 41 personnes. Les discours ont été enregistrés puis retranscrits avant de faire l'objet d'une analyse thématique du contenu. Résultats : Les défis relevés concernent les difficultés de communication, les rapports de forces, les priorités de recherche, les différences dans la culture de recherche, l'environnement institutionnel et la carrière des chercheurs. Les chercheurs décrivent les conditions favorables au partenariat équitable et suggèrent des pistes de formations pour les jeunes chercheurs. Interprétation : Pour favoriser des partenariats équitables et durables, les chercheurs suggèrent de mieux former la nouvelle génération en favorisant notamment les échanges, les expériences de terrain, le mentorat et une position reflexive et autocritique. Objectives: Global health research often involves North-South partnerships. However, these types of partnerships present particular challenges. The aim of this study is to examine these challenges from the perspectives of those involved in order to formulate ideas for further discussion and action to support the training of young researchers. Methods: This is a qualitative study using an exploratory design. The data are taken from encounters with 41 persons in individual in-depth interviews (n=16) and a focus group (n=25). All encounters were audio-recorded and transcribed, and the content subsequently underwent thematic analysis. Results: The challenges identified were related to communication problems, power relationships, research priorities, differences in research culture, the institutional environment and researchers' careers. The researchers describe the conditions that support equitable partnerships and propose some ideas for the training of young researchers. Interpretation: To foster equitable and sustainable partnerships, the researchers suggest that the next generation would be better trained by focusing particularly on interactive discussions, field work, mentoring and the adoption of a reflective and self-critical mindset.","container-title":"Canadian Journal of Public Health / Revue Canadienne de Sante'e Publique","ISSN":"0008-4263","issue":"2","page":"152-156","source":"JSTOR","title":"La recherche en santé mondiale et les défis des partenariats Nord-Sud","volume":"102","author":[{"family":"Ridde","given":"Valéry"},{"family":"Capelle","given":"Florence"}],"issued":{"date-parts":[["2011"]]}}}],"schema":"https://github.com/citation-style-language/schema/raw/master/csl-citation.json"} </w:instrText>
      </w:r>
      <w:r>
        <w:rPr>
          <w:rFonts w:ascii="Arial" w:hAnsi="Arial" w:cs="Arial"/>
          <w:sz w:val="24"/>
          <w:szCs w:val="24"/>
        </w:rPr>
        <w:fldChar w:fldCharType="separate"/>
      </w:r>
      <w:r>
        <w:rPr>
          <w:rFonts w:ascii="Arial" w:hAnsi="Arial" w:cs="Arial"/>
          <w:sz w:val="24"/>
          <w:szCs w:val="24"/>
        </w:rPr>
        <w:t>(Ridde &amp; Capelle, 2011)</w:t>
      </w:r>
      <w:r>
        <w:rPr>
          <w:rFonts w:ascii="Arial" w:hAnsi="Arial" w:cs="Arial"/>
          <w:sz w:val="24"/>
          <w:szCs w:val="24"/>
        </w:rPr>
        <w:fldChar w:fldCharType="end"/>
      </w:r>
      <w:r>
        <w:rPr>
          <w:rFonts w:ascii="Arial" w:hAnsi="Arial" w:cs="Arial"/>
          <w:sz w:val="24"/>
          <w:szCs w:val="24"/>
        </w:rPr>
        <w:t>. Por otro lado, los investigadores no occidentales no dependen de fondos externos en su práctica investigadora, lo que les da la capacidad para desarrollar estrategias metodológicas más adaptadas y sensibles a los entornos de investigación locales.</w:t>
      </w:r>
    </w:p>
    <w:p w14:paraId="49767058" w14:textId="77777777" w:rsidR="0093626A" w:rsidRDefault="00000000" w:rsidP="005915A7">
      <w:pPr>
        <w:pStyle w:val="Prrafodelista"/>
        <w:numPr>
          <w:ilvl w:val="0"/>
          <w:numId w:val="8"/>
        </w:numPr>
        <w:spacing w:after="0" w:line="360" w:lineRule="auto"/>
        <w:ind w:left="714" w:hanging="357"/>
        <w:contextualSpacing w:val="0"/>
        <w:jc w:val="both"/>
        <w:rPr>
          <w:rFonts w:ascii="Arial" w:hAnsi="Arial" w:cs="Arial"/>
          <w:bCs/>
          <w:sz w:val="24"/>
          <w:szCs w:val="24"/>
        </w:rPr>
      </w:pPr>
      <w:r>
        <w:rPr>
          <w:rFonts w:ascii="Arial" w:hAnsi="Arial" w:cs="Arial"/>
          <w:bCs/>
          <w:sz w:val="24"/>
          <w:szCs w:val="24"/>
          <w:shd w:val="clear" w:color="auto" w:fill="FFFFFF" w:themeFill="background1"/>
        </w:rPr>
        <w:t>Otra tendencia restrictiva de la investigación colaborativa es la de centrarse exclusivamente en el curso histórico del contexto local.</w:t>
      </w:r>
      <w:r>
        <w:rPr>
          <w:rFonts w:ascii="Arial" w:hAnsi="Arial" w:cs="Arial"/>
          <w:bCs/>
          <w:sz w:val="24"/>
          <w:szCs w:val="24"/>
        </w:rPr>
        <w:t xml:space="preserve"> Esto deja un amplio espacio para la interpretación retrospectiva del investigador, que conserva lo </w:t>
      </w:r>
      <w:r>
        <w:rPr>
          <w:rFonts w:ascii="Arial" w:hAnsi="Arial" w:cs="Arial"/>
          <w:bCs/>
          <w:sz w:val="24"/>
          <w:szCs w:val="24"/>
          <w:shd w:val="clear" w:color="auto" w:fill="FFFFFF" w:themeFill="background1"/>
        </w:rPr>
        <w:t xml:space="preserve">que considera relevante según sus creencias e hipótesis </w:t>
      </w:r>
      <w:r>
        <w:rPr>
          <w:rFonts w:ascii="Arial" w:hAnsi="Arial" w:cs="Arial"/>
          <w:bCs/>
          <w:sz w:val="24"/>
          <w:szCs w:val="24"/>
          <w:shd w:val="clear" w:color="auto" w:fill="FFFFFF" w:themeFill="background1"/>
        </w:rPr>
        <w:fldChar w:fldCharType="begin"/>
      </w:r>
      <w:r>
        <w:rPr>
          <w:rFonts w:ascii="Arial" w:hAnsi="Arial" w:cs="Arial"/>
          <w:bCs/>
          <w:sz w:val="24"/>
          <w:szCs w:val="24"/>
          <w:shd w:val="clear" w:color="auto" w:fill="FFFFFF" w:themeFill="background1"/>
        </w:rPr>
        <w:instrText xml:space="preserve"> ADDIN ZOTERO_ITEM CSL_CITATION {"citationID":"VOQGukAk","properties":{"formattedCitation":"(Ferreyra, 2006; Ridde &amp; Capelle, 2011)","plainCitation":"(Ferreyra, 2006; Ridde &amp; Capelle, 2011)","noteIndex":0},"citationItems":[{"id":611,"uris":["http://zotero.org/users/2351503/items/I8X8UT8M"],"itemData":{"id":611,"type":"article-journal","abstract":"In the last few decades, there has been a trend towards increased stakeholder and public participation in natural resource management in North America. To a certain extent, the rationale for this trend is found in the complexity and uncertainty of environmental issues, which confront us with the coexistance of multiple legitimate values and perspectives in society. Recognizing this “epistemological plurality” has important implications for both policy and science. In this paper, I critically reflect on my experiences as a doctoral student engaged in participatory action research (PAR) with a watershed partnership in Ontario, Canada. In providing this biographical account, I seek to make a contribution to ongoing discussions regarding the nature, challenges and benefits of this methodological approach for academic research, as well as to emerging debates on PAR in the context of environmental governance and “post-normal” approaches to natural resource management.","container-title":"Systemic Practice and Action Research","DOI":"10.1007/s11213-006-9044-2","ISSN":"1573-9295","issue":"6","journalAbbreviation":"Syst Pract Act Res","language":"en","page":"577-598","source":"Springer Link","title":"Practicality, Positionality, and Emancipation: Reflections on Participatory Action Research with a Watershed Partnership","title-short":"Practicality, Positionality, and Emancipation","volume":"19","author":[{"family":"Ferreyra","given":"Cecilia"}],"issued":{"date-parts":[["2006",12,1]]}}},{"id":4443,"uris":["http://zotero.org/users/2351503/items/CYZBAXZE"],"itemData":{"id":4443,"type":"article-journal","abstract":"Objectifs : La recherche en santé mondiale se réalise souvent sous la forme de partenariats Nord-Sud. Mais ce type de partenariats entraîne des défis particuliers. Cette étude vise à rendre compte du point de vue des acteurs sur ces défis afin de formuler quelques pistes de réflexions et d'actions concernant la formation des jeunes chercheurs. Méthodes : Il s'agit d'une étude qualitative à visée exploratoire. Les données proviennent d'entrevues approfondies (n=16) et d'un groupe de discussion (n=25) réalisés auprès de 41 personnes. Les discours ont été enregistrés puis retranscrits avant de faire l'objet d'une analyse thématique du contenu. Résultats : Les défis relevés concernent les difficultés de communication, les rapports de forces, les priorités de recherche, les différences dans la culture de recherche, l'environnement institutionnel et la carrière des chercheurs. Les chercheurs décrivent les conditions favorables au partenariat équitable et suggèrent des pistes de formations pour les jeunes chercheurs. Interprétation : Pour favoriser des partenariats équitables et durables, les chercheurs suggèrent de mieux former la nouvelle génération en favorisant notamment les échanges, les expériences de terrain, le mentorat et une position reflexive et autocritique. Objectives: Global health research often involves North-South partnerships. However, these types of partnerships present particular challenges. The aim of this study is to examine these challenges from the perspectives of those involved in order to formulate ideas for further discussion and action to support the training of young researchers. Methods: This is a qualitative study using an exploratory design. The data are taken from encounters with 41 persons in individual in-depth interviews (n=16) and a focus group (n=25). All encounters were audio-recorded and transcribed, and the content subsequently underwent thematic analysis. Results: The challenges identified were related to communication problems, power relationships, research priorities, differences in research culture, the institutional environment and researchers' careers. The researchers describe the conditions that support equitable partnerships and propose some ideas for the training of young researchers. Interpretation: To foster equitable and sustainable partnerships, the researchers suggest that the next generation would be better trained by focusing particularly on interactive discussions, field work, mentoring and the adoption of a reflective and self-critical mindset.","container-title":"Canadian Journal of Public Health / Revue Canadienne de Sante'e Publique","ISSN":"0008-4263","issue":"2","page":"152-156","source":"JSTOR","title":"La recherche en santé mondiale et les défis des partenariats Nord-Sud","volume":"102","author":[{"family":"Ridde","given":"Valéry"},{"family":"Capelle","given":"Florence"}],"issued":{"date-parts":[["2011"]]}}}],"schema":"https://github.com/citation-style-language/schema/raw/master/csl-citation.json"} </w:instrText>
      </w:r>
      <w:r>
        <w:rPr>
          <w:rFonts w:ascii="Arial" w:hAnsi="Arial" w:cs="Arial"/>
          <w:bCs/>
          <w:sz w:val="24"/>
          <w:szCs w:val="24"/>
          <w:shd w:val="clear" w:color="auto" w:fill="FFFFFF" w:themeFill="background1"/>
        </w:rPr>
        <w:fldChar w:fldCharType="separate"/>
      </w:r>
      <w:r>
        <w:rPr>
          <w:rFonts w:ascii="Arial" w:hAnsi="Arial" w:cs="Arial"/>
          <w:sz w:val="24"/>
          <w:szCs w:val="24"/>
          <w:shd w:val="clear" w:color="auto" w:fill="FFFFFF" w:themeFill="background1"/>
        </w:rPr>
        <w:t>(Ferreyra, 2006; Ridde &amp; Capelle, 2011)</w:t>
      </w:r>
      <w:r>
        <w:rPr>
          <w:rFonts w:ascii="Arial" w:hAnsi="Arial" w:cs="Arial"/>
          <w:bCs/>
          <w:sz w:val="24"/>
          <w:szCs w:val="24"/>
          <w:shd w:val="clear" w:color="auto" w:fill="FFFFFF" w:themeFill="background1"/>
        </w:rPr>
        <w:fldChar w:fldCharType="end"/>
      </w:r>
      <w:r>
        <w:rPr>
          <w:rFonts w:ascii="Arial" w:hAnsi="Arial" w:cs="Arial"/>
          <w:bCs/>
          <w:sz w:val="24"/>
          <w:szCs w:val="24"/>
          <w:shd w:val="clear" w:color="auto" w:fill="FFFFFF" w:themeFill="background1"/>
        </w:rPr>
        <w:t>, con frecuencia en detrimento de las perspectivas</w:t>
      </w:r>
      <w:r>
        <w:rPr>
          <w:rFonts w:ascii="Arial" w:hAnsi="Arial" w:cs="Arial"/>
          <w:bCs/>
          <w:sz w:val="24"/>
          <w:szCs w:val="24"/>
        </w:rPr>
        <w:t xml:space="preserve"> de los actores locales involucrados en el proceso de investigación.</w:t>
      </w:r>
    </w:p>
    <w:p w14:paraId="5FC0CA71" w14:textId="77777777" w:rsidR="0093626A" w:rsidRDefault="0093626A" w:rsidP="005915A7">
      <w:pPr>
        <w:shd w:val="clear" w:color="auto" w:fill="FFFFFF" w:themeFill="background1"/>
        <w:spacing w:after="0" w:line="360" w:lineRule="auto"/>
        <w:jc w:val="both"/>
        <w:rPr>
          <w:rFonts w:ascii="Arial" w:hAnsi="Arial" w:cs="Arial"/>
          <w:sz w:val="24"/>
          <w:szCs w:val="24"/>
        </w:rPr>
      </w:pPr>
    </w:p>
    <w:p w14:paraId="02232F2A" w14:textId="77777777" w:rsidR="0093626A" w:rsidRDefault="00000000" w:rsidP="00634580">
      <w:pPr>
        <w:shd w:val="clear" w:color="auto" w:fill="FFFFFF" w:themeFill="background1"/>
        <w:spacing w:after="0" w:line="360" w:lineRule="auto"/>
        <w:ind w:firstLine="708"/>
        <w:jc w:val="both"/>
        <w:rPr>
          <w:rFonts w:ascii="Arial" w:hAnsi="Arial" w:cs="Arial"/>
          <w:sz w:val="24"/>
          <w:szCs w:val="24"/>
        </w:rPr>
      </w:pPr>
      <w:r>
        <w:rPr>
          <w:rFonts w:ascii="Arial" w:hAnsi="Arial" w:cs="Arial"/>
          <w:sz w:val="24"/>
          <w:szCs w:val="24"/>
        </w:rPr>
        <w:t xml:space="preserve">A </w:t>
      </w:r>
      <w:r>
        <w:rPr>
          <w:rFonts w:ascii="Arial" w:hAnsi="Arial" w:cs="Arial"/>
          <w:i/>
          <w:iCs/>
          <w:sz w:val="24"/>
          <w:szCs w:val="24"/>
        </w:rPr>
        <w:t>nivel epistemológico</w:t>
      </w:r>
      <w:r>
        <w:rPr>
          <w:rFonts w:ascii="Arial" w:hAnsi="Arial" w:cs="Arial"/>
          <w:sz w:val="24"/>
          <w:szCs w:val="24"/>
        </w:rPr>
        <w:t xml:space="preserve">, la investigación colaborativa presenta </w:t>
      </w:r>
      <w:r>
        <w:rPr>
          <w:rFonts w:ascii="Arial" w:hAnsi="Arial" w:cs="Arial"/>
          <w:sz w:val="24"/>
          <w:szCs w:val="24"/>
          <w:shd w:val="clear" w:color="auto" w:fill="FFFFFF" w:themeFill="background1"/>
        </w:rPr>
        <w:t>igualmente</w:t>
      </w:r>
      <w:r>
        <w:rPr>
          <w:rFonts w:ascii="Arial" w:hAnsi="Arial" w:cs="Arial"/>
          <w:sz w:val="24"/>
          <w:szCs w:val="24"/>
        </w:rPr>
        <w:t xml:space="preserve"> desafíos muy importantes en el campo de la Salud Global:</w:t>
      </w:r>
    </w:p>
    <w:p w14:paraId="1AD51722" w14:textId="77777777" w:rsidR="0093626A" w:rsidRDefault="00000000" w:rsidP="005915A7">
      <w:pPr>
        <w:pStyle w:val="Prrafodelista"/>
        <w:numPr>
          <w:ilvl w:val="0"/>
          <w:numId w:val="8"/>
        </w:numPr>
        <w:shd w:val="clear" w:color="auto" w:fill="FFFFFF" w:themeFill="background1"/>
        <w:spacing w:after="0" w:line="360" w:lineRule="auto"/>
        <w:ind w:left="714" w:hanging="357"/>
        <w:contextualSpacing w:val="0"/>
        <w:jc w:val="both"/>
        <w:rPr>
          <w:rFonts w:ascii="Arial" w:hAnsi="Arial" w:cs="Arial"/>
          <w:bCs/>
          <w:sz w:val="24"/>
          <w:szCs w:val="24"/>
        </w:rPr>
      </w:pPr>
      <w:r>
        <w:rPr>
          <w:rFonts w:ascii="Arial" w:hAnsi="Arial" w:cs="Arial"/>
          <w:sz w:val="24"/>
          <w:szCs w:val="24"/>
        </w:rPr>
        <w:t xml:space="preserve">En primer lugar, la formulación del problema y la definición previa del objeto de investigación a menudo generan preocupaciones considerables. Los </w:t>
      </w:r>
      <w:r>
        <w:rPr>
          <w:rFonts w:ascii="Arial" w:hAnsi="Arial" w:cs="Arial"/>
          <w:sz w:val="24"/>
          <w:szCs w:val="24"/>
        </w:rPr>
        <w:lastRenderedPageBreak/>
        <w:t xml:space="preserve">mismos problemas no están necesariamente presentes en </w:t>
      </w:r>
      <w:r>
        <w:rPr>
          <w:rFonts w:ascii="Arial" w:hAnsi="Arial" w:cs="Arial"/>
          <w:bCs/>
          <w:sz w:val="24"/>
          <w:szCs w:val="24"/>
        </w:rPr>
        <w:t xml:space="preserve">dos contextos </w:t>
      </w:r>
      <w:r>
        <w:rPr>
          <w:rFonts w:ascii="Arial" w:hAnsi="Arial" w:cs="Arial"/>
          <w:bCs/>
          <w:sz w:val="24"/>
          <w:szCs w:val="24"/>
          <w:shd w:val="clear" w:color="auto" w:fill="FFFFFF" w:themeFill="background1"/>
        </w:rPr>
        <w:t>diferentes y problemas aparentemente</w:t>
      </w:r>
      <w:r>
        <w:rPr>
          <w:rFonts w:ascii="Arial" w:hAnsi="Arial" w:cs="Arial"/>
          <w:bCs/>
          <w:sz w:val="24"/>
          <w:szCs w:val="24"/>
        </w:rPr>
        <w:t xml:space="preserve"> idénticos pueden tener características diferentes dependiendo del contexto </w:t>
      </w:r>
      <w:r>
        <w:rPr>
          <w:rFonts w:ascii="Arial" w:hAnsi="Arial" w:cs="Arial"/>
          <w:bCs/>
          <w:sz w:val="24"/>
          <w:szCs w:val="24"/>
        </w:rPr>
        <w:fldChar w:fldCharType="begin"/>
      </w:r>
      <w:r>
        <w:rPr>
          <w:rFonts w:ascii="Arial" w:hAnsi="Arial" w:cs="Arial"/>
          <w:bCs/>
          <w:sz w:val="24"/>
          <w:szCs w:val="24"/>
        </w:rPr>
        <w:instrText xml:space="preserve"> ADDIN ZOTERO_ITEM CSL_CITATION {"citationID":"OUOomXxs","properties":{"formattedCitation":"(Pratt et al., 2018; Tanabe et al., 2017)","plainCitation":"(Pratt et al., 2018; Tanabe et al., 2017)","noteIndex":0},"citationItems":[{"id":8919,"uris":["http://zotero.org/users/2351503/items/UTXSKGPG"],"itemData":{"id":8919,"type":"article-journal","abstract":"Thus far, little work in bioethics has specifically focused on global health research priority-setting. Yet features of global health research priority-setting raise ethical considerations and concerns related to health justice. For example, such processes are often exclusively disease-driven, meaning they rely heavily on burden of disease considerations. They, therefore, tend to undervalue non-biomedical research topics, which have been identified as essential to helping reduce health disparities. In recognition of these ethical concerns and the limited scholarship and dialogue addressing them, we convened an international workshop in September 2015. The workshop aimed to initiate discussion on the appropriate relationship between global and national levels of health research priority-setting and to begin exploring what might be ethically required for priority-setting at each of those levels.","container-title":"BMC Medical Ethics","DOI":"10.1186/s12910-018-0333-y","ISSN":"1472-6939","issue":"1","journalAbbreviation":"BMC Medical Ethics","page":"94","source":"BioMed Central","title":"Exploring the ethics of global health research priority-setting","volume":"19","author":[{"family":"Pratt","given":"Bridget"},{"family":"Sheehan","given":"Mark"},{"family":"Barsdorf","given":"Nicola"},{"family":"Hyder","given":"Adnan A."}],"issued":{"date-parts":[["2018",12,6]]}}},{"id":4511,"uris":["http://zotero.org/users/2351503/items/763Z7VY4"],"itemData":{"id":4511,"type":"article-journal","abstract":"Standard approaches to data collection can present challenges to persons with disabilities participating in research processes. The Women's Refugee Commission applied a participatory model to examine the intersections of sexual and reproductive health and disability in Kenya, Nepal, and Uganda. Respecting the Convention on the Rights of Persons with Disabilities and a rights-based framework to research, the study engaged a variety of stakeholders—including organizations of persons with disabilities—from its inception and design, through to implementation and recommendation formulation. In Nepal especially, persons with disabilities played a central role in gathering the information from refugee women, men, and adolescents with physical, intellectual, sensory, and psychosocial impairments. Reasonable accommodations for the data collectors included the provision of personal assistants, vehicles for movement, sign language interpretation, Braille documents, and tactile ink-based diagrams; use of a “talking pen;” and creation of a “supporter” role in the facilitation process. Daily debriefings provided opportunities for collective improvement and reflection. The study offers considerations for other researchers to extend their research—on the part of the study participants and in the research process itself—to operationalize a rights-based, inclusive, and empowering approach to qualitative research.","container-title":"Action Research","DOI":"10.1177/1476750316685878","ISSN":"1476-7503","journalAbbreviation":"Action Research","language":"en","page":"1476750316685878","source":"SAGE Journals","title":"“Nothing about us, without us”: Conducting participatory action research among and with persons with disabilities in humanitarian settings","title-short":"“Nothing about us, without us”","author":[{"family":"Tanabe","given":"Mihoko"},{"family":"Pearce","given":"Emma"},{"family":"Krause","given":"Sandra K"}],"issued":{"date-parts":[["2017",2,14]]}}}],"schema":"https://github.com/citation-style-language/schema/raw/master/csl-citation.json"} </w:instrText>
      </w:r>
      <w:r>
        <w:rPr>
          <w:rFonts w:ascii="Arial" w:hAnsi="Arial" w:cs="Arial"/>
          <w:bCs/>
          <w:sz w:val="24"/>
          <w:szCs w:val="24"/>
        </w:rPr>
        <w:fldChar w:fldCharType="separate"/>
      </w:r>
      <w:r>
        <w:rPr>
          <w:rFonts w:ascii="Arial" w:hAnsi="Arial" w:cs="Arial"/>
          <w:sz w:val="24"/>
          <w:szCs w:val="24"/>
        </w:rPr>
        <w:t>(Pratt et al., 2018; Tanabe et al., 2017)</w:t>
      </w:r>
      <w:r>
        <w:rPr>
          <w:rFonts w:ascii="Arial" w:hAnsi="Arial" w:cs="Arial"/>
          <w:bCs/>
          <w:sz w:val="24"/>
          <w:szCs w:val="24"/>
        </w:rPr>
        <w:fldChar w:fldCharType="end"/>
      </w:r>
      <w:r>
        <w:rPr>
          <w:rFonts w:ascii="Arial" w:hAnsi="Arial" w:cs="Arial"/>
          <w:bCs/>
          <w:sz w:val="24"/>
          <w:szCs w:val="24"/>
        </w:rPr>
        <w:t xml:space="preserve">. Cada vez que un actor social entra en contacto con otros actores, se enfrenta no tanto a un nivel diferente de conocimiento, sino a otra forma de percibir la realidad </w:t>
      </w:r>
      <w:r>
        <w:rPr>
          <w:rFonts w:ascii="Arial" w:hAnsi="Arial" w:cs="Arial"/>
          <w:bCs/>
          <w:sz w:val="24"/>
          <w:szCs w:val="24"/>
        </w:rPr>
        <w:fldChar w:fldCharType="begin"/>
      </w:r>
      <w:r>
        <w:rPr>
          <w:rFonts w:ascii="Arial" w:hAnsi="Arial" w:cs="Arial"/>
          <w:bCs/>
          <w:sz w:val="24"/>
          <w:szCs w:val="24"/>
        </w:rPr>
        <w:instrText xml:space="preserve"> ADDIN ZOTERO_ITEM CSL_CITATION {"citationID":"lJFAXemQ","properties":{"formattedCitation":"(Sarriot &amp; Kouletio, 2015)","plainCitation":"(Sarriot &amp; Kouletio, 2015)","noteIndex":0},"citationItems":[{"id":7711,"uris":["http://zotero.org/users/2351503/items/F649VZ4U"],"itemData":{"id":7711,"type":"article-journal","abstract":"The global health and development field, which has been reasonably dominated by linear models of planning, is witnessing increased interest in complexity, non-linear processes, and systems thinking. This welcome interest is challenged by both language and ability to discern whether complex development phenomena are discussed from the perspective of the nature of particular health systems (ontology), from the identification of more fitting intervention modalities (praxis), or from our approach to learning and evidence (epistemology). This paper is an experience-based contribution to the first two perspectives. Two Bangladeshi municipal health systems provide an example of how sustainable outcomes were achieved through complex adaptive system behaviors, during and after intervention by Concern Worldwide, Inc. (Concern). Concern provided support to the Municipal Health Departments and then assessed the sustainability of health achievements several years after its intervention. We examine complexity in municipal health systems behavior, and the nonlinearity of project effects. We identify ways in which Concern’s program, beyond technical design, followed recommendations on leading complex systems towards positive sustainable outcomes. We conclude on the necessity for global community health planners and practitioners to (1) better understand the complexity of the context and issues they are facing, (2) make more reasonable assumptions about the “shock to the system” caused by projects both when they start and when they end, and (3) learn to balance strategic designs with respect for self-organization principles.","container-title":"Systemic Practice and Action Research","DOI":"10.1007/s11213-014-9329-9","ISSN":"1573-9295","issue":"3","journalAbbreviation":"Syst Pract Action Res","language":"en","page":"255-272","source":"Springer Link","title":"Community Health Systems as Complex Adaptive Systems: Ontology and Praxis Lessons from an Urban Health Experience with Demonstrated Sustainability","title-short":"Community Health Systems as Complex Adaptive Systems","volume":"28","author":[{"family":"Sarriot","given":"Eric"},{"family":"Kouletio","given":"Michelle"}],"issued":{"date-parts":[["2015",6,1]]}}}],"schema":"https://github.com/citation-style-language/schema/raw/master/csl-citation.json"} </w:instrText>
      </w:r>
      <w:r>
        <w:rPr>
          <w:rFonts w:ascii="Arial" w:hAnsi="Arial" w:cs="Arial"/>
          <w:bCs/>
          <w:sz w:val="24"/>
          <w:szCs w:val="24"/>
        </w:rPr>
        <w:fldChar w:fldCharType="separate"/>
      </w:r>
      <w:r>
        <w:rPr>
          <w:rFonts w:ascii="Arial" w:hAnsi="Arial" w:cs="Arial"/>
          <w:sz w:val="24"/>
          <w:szCs w:val="24"/>
        </w:rPr>
        <w:t>(Sarriot &amp; Kouletio, 2015)</w:t>
      </w:r>
      <w:r>
        <w:rPr>
          <w:rFonts w:ascii="Arial" w:hAnsi="Arial" w:cs="Arial"/>
          <w:bCs/>
          <w:sz w:val="24"/>
          <w:szCs w:val="24"/>
        </w:rPr>
        <w:fldChar w:fldCharType="end"/>
      </w:r>
      <w:r>
        <w:rPr>
          <w:rFonts w:ascii="Arial" w:hAnsi="Arial" w:cs="Arial"/>
          <w:bCs/>
          <w:sz w:val="24"/>
          <w:szCs w:val="24"/>
        </w:rPr>
        <w:t>.</w:t>
      </w:r>
    </w:p>
    <w:p w14:paraId="7BE521A8" w14:textId="77777777" w:rsidR="0093626A" w:rsidRDefault="00000000" w:rsidP="005915A7">
      <w:pPr>
        <w:pStyle w:val="Prrafodelista"/>
        <w:numPr>
          <w:ilvl w:val="0"/>
          <w:numId w:val="8"/>
        </w:numPr>
        <w:shd w:val="clear" w:color="auto" w:fill="FFFFFF" w:themeFill="background1"/>
        <w:spacing w:after="0" w:line="360" w:lineRule="auto"/>
        <w:ind w:left="714" w:hanging="357"/>
        <w:contextualSpacing w:val="0"/>
        <w:jc w:val="both"/>
        <w:rPr>
          <w:rFonts w:ascii="Arial" w:hAnsi="Arial" w:cs="Arial"/>
          <w:bCs/>
          <w:sz w:val="24"/>
          <w:szCs w:val="24"/>
        </w:rPr>
      </w:pPr>
      <w:r>
        <w:rPr>
          <w:rFonts w:ascii="Arial" w:hAnsi="Arial" w:cs="Arial"/>
          <w:bCs/>
          <w:sz w:val="24"/>
          <w:szCs w:val="24"/>
          <w:shd w:val="clear" w:color="auto" w:fill="FFFFFF" w:themeFill="background1"/>
        </w:rPr>
        <w:t>Otra limitación importante es la tendencia a homogeneizar</w:t>
      </w:r>
      <w:r>
        <w:rPr>
          <w:rFonts w:ascii="Arial" w:hAnsi="Arial" w:cs="Arial"/>
          <w:bCs/>
          <w:sz w:val="24"/>
          <w:szCs w:val="24"/>
        </w:rPr>
        <w:t xml:space="preserve"> las categorías utilizadas para hacer comparaciones. Como en cualquier enfoque epistemológico, </w:t>
      </w:r>
      <w:r>
        <w:rPr>
          <w:rFonts w:ascii="Arial" w:hAnsi="Arial" w:cs="Arial"/>
          <w:bCs/>
          <w:iCs/>
          <w:sz w:val="24"/>
          <w:szCs w:val="24"/>
        </w:rPr>
        <w:t>estas</w:t>
      </w:r>
      <w:r>
        <w:rPr>
          <w:rFonts w:ascii="Arial" w:hAnsi="Arial" w:cs="Arial"/>
          <w:bCs/>
          <w:i/>
          <w:sz w:val="24"/>
          <w:szCs w:val="24"/>
        </w:rPr>
        <w:t xml:space="preserve"> </w:t>
      </w:r>
      <w:r>
        <w:rPr>
          <w:rFonts w:ascii="Arial" w:hAnsi="Arial" w:cs="Arial"/>
          <w:bCs/>
          <w:sz w:val="24"/>
          <w:szCs w:val="24"/>
        </w:rPr>
        <w:t xml:space="preserve">categorías son el resultado de un proceso de construcción social desarrollado por investigadores que cumplen con los requisitos de su contexto institucional específico </w:t>
      </w:r>
      <w:r>
        <w:rPr>
          <w:rFonts w:ascii="Arial" w:hAnsi="Arial" w:cs="Arial"/>
          <w:bCs/>
          <w:sz w:val="24"/>
          <w:szCs w:val="24"/>
        </w:rPr>
        <w:fldChar w:fldCharType="begin"/>
      </w:r>
      <w:r>
        <w:rPr>
          <w:rFonts w:ascii="Arial" w:hAnsi="Arial" w:cs="Arial"/>
          <w:bCs/>
          <w:sz w:val="24"/>
          <w:szCs w:val="24"/>
        </w:rPr>
        <w:instrText xml:space="preserve"> ADDIN ZOTERO_ITEM CSL_CITATION {"citationID":"BbAP8UYa","properties":{"formattedCitation":"(Brun, 2017; Nemeth et al., 2016; Suarez-Herrera et al., 2013)","plainCitation":"(Brun, 2017; Nemeth et al., 2016; Suarez-Herrera et al., 2013)","noteIndex":0},"citationItems":[{"id":4778,"uris":["http://zotero.org/users/2351503/items/395C4LEW"],"itemData":{"id":4778,"type":"article-journal","abstract":"Le mouvement atd Quart Monde et le Conservatoire national des arts et m&amp;#233;tiers (Cnam) ont organis&amp;#233; en 2015-2016 un s&amp;#233;minaire &amp;#233;pist&amp;#233;mologique autour des recherches participatives en croisement des savoirs avec des repr&amp;#233;sentants de milieux de pauvret&amp;#233; et des professionnels. Le but &amp;#233;tait d&amp;#8217;&amp;#233;tablir les plus-values de recherches acad&amp;#233;miques men&amp;#233;es en croisement des savoirs avec ces acteurs et de pr&amp;#233;parer un appel aux chercheurs en faveur de cette d&amp;#233;marche.Trois probl&amp;#233;matiques ont structur&amp;#233; nos r&amp;#233;flexions&amp;#8239;: la nature des savoirs exp&amp;#233;rientiels et les questions pos&amp;#233;es par la mise en dialogue de ces savoirs avec les savoirs acad&amp;#233;miques&amp;#8239;; les conditions du processus relationnel mis en &amp;#339;uvre dans le croisement&amp;#8239;; enfin, les crit&amp;#232;res de validation compte tenu des finalit&amp;#233;s diff&amp;#233;rentes des participants et les modalit&amp;#233;s d&amp;#8217;une co-validation.Des consensus ont &amp;#233;t&amp;#233; act&amp;#233;s, les b&amp;#233;n&amp;#233;fices attendus pour chacun des co-chercheurs identifi&amp;#233;s et un certain nombre de d&amp;#233;bats men&amp;#233;s ouvrant sur un travail d&amp;#8217;approfondissement de cette forme de recherche.","container-title":"Vie sociale","ISSN":"0042-5605","issue":"4","language":"fr","page":"45-52","source":"www-cairn-info.ezproxy.kedgebs.com","title":"Le croisement des savoirs dans les recherches participatives. Questions épistémologiques","volume":"n° 20","author":[{"family":"Brun","given":"Patrick"}],"issued":{"date-parts":[["2017"]]}}},{"id":8835,"uris":["http://zotero.org/users/2351503/items/2CPU2KD5"],"itemData":{"id":8835,"type":"article-journal","abstract":"Treatment for acute ischemic stroke must be initiated within hours of stroke symptom onset, and the sooner it is administered, the better. In South Carolina, 76% of the population can access expert stroke care, and rural hospitals may provide specialized treatment using telemedicine, but many stroke sufferers seek care too late to achieve full benefit. Using a community-engaged approach in a southern rural community, we explored barriers and facilitators to early stroke care and implications for improvement. The Community-Engaged Assessment to facilitate Stroke Elimination (CEASE) study was guided by a community advisory group to ensure community centeredness and local relevance. In a qualitative descriptive study, eight focus groups were conducted including 52 individuals: recent stroke survivors, family members, emergency medical personnel, hospital emergency department staff, primary care providers, and community leaders. From analysis of focus group transcripts came six themes: lack of trust in healthcare system and providers; weak relationships fueled by poor communication; low health literacy; financial limitations related to health care; community-based education; and faith as a message of hope. A hierarchy model for improving early community-based stroke care was developed through consensus dialogue by community representatives and the research team. This model can be used to inform a community-partnered, stakeholder-informed intervention to improve stroke care in a rural southern community with the goal of improving stroke education, care, and outcome. © 2016 Wiley Periodicals, Inc.","container-title":"Research in Nursing &amp; Health","DOI":"10.1002/nur.21749","ISSN":"1098-240X","issue":"6","journalAbbreviation":"Res Nurs Health","language":"eng","note":"PMID: 27545591\nPMCID: PMC5118187","page":"438-448","source":"PubMed","title":"A Community-Engaged Assessment of Barriers and Facilitators to Rapid Stroke Treatment","volume":"39","author":[{"family":"Nemeth","given":"Lynne S."},{"family":"Jenkins","given":"Carolyn"},{"family":"Jauch","given":"Edward C."},{"family":"Conway","given":"Sharon"},{"family":"Pearlman","given":"Adam"},{"family":"Spruill","given":"Ida J."},{"family":"Brown","given":"Lynette J."},{"family":"Linnen","given":"Joyce"},{"family":"Linnen","given":"Florene"},{"family":"Andrews","given":"Jeannette O."}],"issued":{"date-parts":[["2016",12]]}}},{"id":7192,"uris":["http://zotero.org/users/2351503/items/A6ZB5P44"],"itemData":{"id":7192,"type":"article-journal","abstract":"À la lumière des fondements conceptuels de la « théorie de l’acteur-réseau » (Callon, 1986; Latour, 2005), cet article développe une perspective innovatrice sur la pratique de la recherche participative en CSSS-CAU. Pour ce faire, nous montrerons comment certaines pratiques participatives associées à la recherche s’organisent graduellement sous forme de réseaux innovateurs de traduction des savoirs. Le cas du partenariat ARIMA, mis en oeuvre au Québec par le Centre de recherche et de partage des savoirs InterActions, servira d’illustration. La configuration partenariale de ce réseau est associée à de nombreuses traductions potentiellement transformatrices, ce qui lui donne une perspective de recherche innovatrice qui se construit dans un contexte complexe de mobilisation des savoirs intersectoriels.","container-title":"Nouvelles pratiques sociales","DOI":"https://doi.org/10.7202/1020822ar","ISSN":"0843-4468, 1703-9312","issue":"2","journalAbbreviation":"nps","language":"fr","page":"73-88","source":"www.erudit.org","title":"La recherche participative en CSSS-CAU : le cas du partenariat ARIMA comme réseau innovateur de traduction des savoirs","title-short":"La recherche participative en CSSS-CAU","volume":"25","author":[{"family":"Suarez-Herrera","given":"José Carlos"},{"family":"White","given":"Deena"},{"family":"Battaglini","given":"Alex"}],"issued":{"date-parts":[["2013"]]}}}],"schema":"https://github.com/citation-style-language/schema/raw/master/csl-citation.json"} </w:instrText>
      </w:r>
      <w:r>
        <w:rPr>
          <w:rFonts w:ascii="Arial" w:hAnsi="Arial" w:cs="Arial"/>
          <w:bCs/>
          <w:sz w:val="24"/>
          <w:szCs w:val="24"/>
        </w:rPr>
        <w:fldChar w:fldCharType="separate"/>
      </w:r>
      <w:r>
        <w:rPr>
          <w:rFonts w:ascii="Arial" w:hAnsi="Arial" w:cs="Arial"/>
          <w:sz w:val="24"/>
          <w:szCs w:val="24"/>
        </w:rPr>
        <w:t>(Brun, 2017; Nemeth et al., 2016; Suarez-Herrera et al., 2013)</w:t>
      </w:r>
      <w:r>
        <w:rPr>
          <w:rFonts w:ascii="Arial" w:hAnsi="Arial" w:cs="Arial"/>
          <w:bCs/>
          <w:sz w:val="24"/>
          <w:szCs w:val="24"/>
        </w:rPr>
        <w:fldChar w:fldCharType="end"/>
      </w:r>
      <w:r>
        <w:rPr>
          <w:rFonts w:ascii="Arial" w:hAnsi="Arial" w:cs="Arial"/>
          <w:bCs/>
          <w:sz w:val="24"/>
          <w:szCs w:val="24"/>
        </w:rPr>
        <w:t xml:space="preserve">. </w:t>
      </w:r>
    </w:p>
    <w:p w14:paraId="2049249E" w14:textId="77777777" w:rsidR="0093626A" w:rsidRDefault="00000000" w:rsidP="005915A7">
      <w:pPr>
        <w:pStyle w:val="Prrafodelista"/>
        <w:numPr>
          <w:ilvl w:val="0"/>
          <w:numId w:val="8"/>
        </w:numPr>
        <w:spacing w:after="0" w:line="360" w:lineRule="auto"/>
        <w:ind w:left="714" w:hanging="357"/>
        <w:contextualSpacing w:val="0"/>
        <w:jc w:val="both"/>
        <w:rPr>
          <w:rFonts w:ascii="Arial" w:hAnsi="Arial" w:cs="Arial"/>
          <w:sz w:val="24"/>
          <w:szCs w:val="24"/>
        </w:rPr>
      </w:pPr>
      <w:r>
        <w:rPr>
          <w:rFonts w:ascii="Arial" w:hAnsi="Arial" w:cs="Arial"/>
          <w:sz w:val="24"/>
          <w:szCs w:val="24"/>
        </w:rPr>
        <w:t xml:space="preserve">Los problemas de comunicación también pueden ocasionar derivas organizacionales importantes. El lenguaje no es simplemente un medio para transmitir </w:t>
      </w:r>
      <w:r>
        <w:rPr>
          <w:rFonts w:ascii="Arial" w:hAnsi="Arial" w:cs="Arial"/>
          <w:sz w:val="24"/>
          <w:szCs w:val="24"/>
          <w:shd w:val="clear" w:color="auto" w:fill="FFFFFF" w:themeFill="background1"/>
        </w:rPr>
        <w:t>ideas, formando parte integral</w:t>
      </w:r>
      <w:r>
        <w:rPr>
          <w:rFonts w:ascii="Arial" w:hAnsi="Arial" w:cs="Arial"/>
          <w:sz w:val="24"/>
          <w:szCs w:val="24"/>
        </w:rPr>
        <w:t xml:space="preserve"> del sistema de valores y de representación social </w:t>
      </w:r>
      <w:r>
        <w:rPr>
          <w:rFonts w:ascii="Arial" w:hAnsi="Arial" w:cs="Arial"/>
          <w:sz w:val="24"/>
          <w:szCs w:val="24"/>
        </w:rPr>
        <w:fldChar w:fldCharType="begin"/>
      </w:r>
      <w:r>
        <w:rPr>
          <w:rFonts w:ascii="Arial" w:hAnsi="Arial" w:cs="Arial"/>
          <w:sz w:val="24"/>
          <w:szCs w:val="24"/>
        </w:rPr>
        <w:instrText xml:space="preserve"> ADDIN ZOTERO_ITEM CSL_CITATION {"citationID":"VUmLXFCv","properties":{"formattedCitation":"(Brun, 2017; Nemeth et al., 2016)","plainCitation":"(Brun, 2017; Nemeth et al., 2016)","noteIndex":0},"citationItems":[{"id":4778,"uris":["http://zotero.org/users/2351503/items/395C4LEW"],"itemData":{"id":4778,"type":"article-journal","abstract":"Le mouvement atd Quart Monde et le Conservatoire national des arts et m&amp;#233;tiers (Cnam) ont organis&amp;#233; en 2015-2016 un s&amp;#233;minaire &amp;#233;pist&amp;#233;mologique autour des recherches participatives en croisement des savoirs avec des repr&amp;#233;sentants de milieux de pauvret&amp;#233; et des professionnels. Le but &amp;#233;tait d&amp;#8217;&amp;#233;tablir les plus-values de recherches acad&amp;#233;miques men&amp;#233;es en croisement des savoirs avec ces acteurs et de pr&amp;#233;parer un appel aux chercheurs en faveur de cette d&amp;#233;marche.Trois probl&amp;#233;matiques ont structur&amp;#233; nos r&amp;#233;flexions&amp;#8239;: la nature des savoirs exp&amp;#233;rientiels et les questions pos&amp;#233;es par la mise en dialogue de ces savoirs avec les savoirs acad&amp;#233;miques&amp;#8239;; les conditions du processus relationnel mis en &amp;#339;uvre dans le croisement&amp;#8239;; enfin, les crit&amp;#232;res de validation compte tenu des finalit&amp;#233;s diff&amp;#233;rentes des participants et les modalit&amp;#233;s d&amp;#8217;une co-validation.Des consensus ont &amp;#233;t&amp;#233; act&amp;#233;s, les b&amp;#233;n&amp;#233;fices attendus pour chacun des co-chercheurs identifi&amp;#233;s et un certain nombre de d&amp;#233;bats men&amp;#233;s ouvrant sur un travail d&amp;#8217;approfondissement de cette forme de recherche.","container-title":"Vie sociale","ISSN":"0042-5605","issue":"4","language":"fr","page":"45-52","source":"www-cairn-info.ezproxy.kedgebs.com","title":"Le croisement des savoirs dans les recherches participatives. Questions épistémologiques","volume":"n° 20","author":[{"family":"Brun","given":"Patrick"}],"issued":{"date-parts":[["2017"]]}}},{"id":8835,"uris":["http://zotero.org/users/2351503/items/2CPU2KD5"],"itemData":{"id":8835,"type":"article-journal","abstract":"Treatment for acute ischemic stroke must be initiated within hours of stroke symptom onset, and the sooner it is administered, the better. In South Carolina, 76% of the population can access expert stroke care, and rural hospitals may provide specialized treatment using telemedicine, but many stroke sufferers seek care too late to achieve full benefit. Using a community-engaged approach in a southern rural community, we explored barriers and facilitators to early stroke care and implications for improvement. The Community-Engaged Assessment to facilitate Stroke Elimination (CEASE) study was guided by a community advisory group to ensure community centeredness and local relevance. In a qualitative descriptive study, eight focus groups were conducted including 52 individuals: recent stroke survivors, family members, emergency medical personnel, hospital emergency department staff, primary care providers, and community leaders. From analysis of focus group transcripts came six themes: lack of trust in healthcare system and providers; weak relationships fueled by poor communication; low health literacy; financial limitations related to health care; community-based education; and faith as a message of hope. A hierarchy model for improving early community-based stroke care was developed through consensus dialogue by community representatives and the research team. This model can be used to inform a community-partnered, stakeholder-informed intervention to improve stroke care in a rural southern community with the goal of improving stroke education, care, and outcome. © 2016 Wiley Periodicals, Inc.","container-title":"Research in Nursing &amp; Health","DOI":"10.1002/nur.21749","ISSN":"1098-240X","issue":"6","journalAbbreviation":"Res Nurs Health","language":"eng","note":"PMID: 27545591\nPMCID: PMC5118187","page":"438-448","source":"PubMed","title":"A Community-Engaged Assessment of Barriers and Facilitators to Rapid Stroke Treatment","volume":"39","author":[{"family":"Nemeth","given":"Lynne S."},{"family":"Jenkins","given":"Carolyn"},{"family":"Jauch","given":"Edward C."},{"family":"Conway","given":"Sharon"},{"family":"Pearlman","given":"Adam"},{"family":"Spruill","given":"Ida J."},{"family":"Brown","given":"Lynette J."},{"family":"Linnen","given":"Joyce"},{"family":"Linnen","given":"Florene"},{"family":"Andrews","given":"Jeannette O."}],"issued":{"date-parts":[["2016",12]]}}}],"schema":"https://github.com/citation-style-language/schema/raw/master/csl-citation.json"} </w:instrText>
      </w:r>
      <w:r>
        <w:rPr>
          <w:rFonts w:ascii="Arial" w:hAnsi="Arial" w:cs="Arial"/>
          <w:sz w:val="24"/>
          <w:szCs w:val="24"/>
        </w:rPr>
        <w:fldChar w:fldCharType="separate"/>
      </w:r>
      <w:r>
        <w:rPr>
          <w:rFonts w:ascii="Arial" w:hAnsi="Arial" w:cs="Arial"/>
          <w:sz w:val="24"/>
          <w:szCs w:val="24"/>
        </w:rPr>
        <w:t>(Brun, 2017; Nemeth et al., 2016)</w:t>
      </w:r>
      <w:r>
        <w:rPr>
          <w:rFonts w:ascii="Arial" w:hAnsi="Arial" w:cs="Arial"/>
          <w:sz w:val="24"/>
          <w:szCs w:val="24"/>
        </w:rPr>
        <w:fldChar w:fldCharType="end"/>
      </w:r>
      <w:r>
        <w:rPr>
          <w:rFonts w:ascii="Arial" w:hAnsi="Arial" w:cs="Arial"/>
          <w:sz w:val="24"/>
          <w:szCs w:val="24"/>
        </w:rPr>
        <w:t xml:space="preserve">. Los canales de comunicación integrados en un proyecto de acción colectiva reflejan los modos de razonamiento, </w:t>
      </w:r>
      <w:r>
        <w:rPr>
          <w:rFonts w:ascii="Arial" w:hAnsi="Arial" w:cs="Arial"/>
          <w:sz w:val="24"/>
          <w:szCs w:val="24"/>
          <w:shd w:val="clear" w:color="auto" w:fill="FFFFFF" w:themeFill="background1"/>
        </w:rPr>
        <w:t>valores e ideologías de los</w:t>
      </w:r>
      <w:r>
        <w:rPr>
          <w:rFonts w:ascii="Arial" w:hAnsi="Arial" w:cs="Arial"/>
          <w:sz w:val="24"/>
          <w:szCs w:val="24"/>
        </w:rPr>
        <w:t xml:space="preserve"> actores sociales implicados en los procesos de investigación </w:t>
      </w:r>
      <w:r>
        <w:rPr>
          <w:rFonts w:ascii="Arial" w:hAnsi="Arial" w:cs="Arial"/>
          <w:sz w:val="24"/>
          <w:szCs w:val="24"/>
        </w:rPr>
        <w:fldChar w:fldCharType="begin"/>
      </w:r>
      <w:r>
        <w:rPr>
          <w:rFonts w:ascii="Arial" w:hAnsi="Arial" w:cs="Arial"/>
          <w:sz w:val="24"/>
          <w:szCs w:val="24"/>
        </w:rPr>
        <w:instrText xml:space="preserve"> ADDIN ZOTERO_ITEM CSL_CITATION {"citationID":"bPNVdKZ8","properties":{"formattedCitation":"(Miller &amp; Fox, 2001)","plainCitation":"(Miller &amp; Fox, 2001)","noteIndex":0},"citationItems":[{"id":22366,"uris":["http://zotero.org/users/2351503/items/7V6PCYXQ"],"itemData":{"id":22366,"type":"article-journal","abstract":"Early epistemology assumed that the observer (a) was independent of and distinct from the object being observed and (b) could validate objective reality in a language system called the laws of science. The authors offer something different. In arguing that knowledge is responsive to the culture in which it is embedded, they take a perspectival approach, gathering localized intentionality, context, social practices, and linguistic meaning (called ground) into the project of inquiry (called figure). Knowledge building, in other words, depends on the background and interests of the epistemic community that is generating knowledge.","container-title":"Administration &amp; Society","DOI":"10.1177/00953990122019613","ISSN":"0095-3997","issue":"6","language":"en","note":"publisher: SAGE Publications Inc","page":"668-685","source":"SAGE Journals","title":"The Epistemic Community","volume":"32","author":[{"family":"Miller","given":"Hugh T."},{"family":"Fox","given":"Charles J."}],"issued":{"date-parts":[["2001",1,1]]}}}],"schema":"https://github.com/citation-style-language/schema/raw/master/csl-citation.json"} </w:instrText>
      </w:r>
      <w:r>
        <w:rPr>
          <w:rFonts w:ascii="Arial" w:hAnsi="Arial" w:cs="Arial"/>
          <w:sz w:val="24"/>
          <w:szCs w:val="24"/>
        </w:rPr>
        <w:fldChar w:fldCharType="separate"/>
      </w:r>
      <w:r>
        <w:rPr>
          <w:rFonts w:ascii="Arial" w:hAnsi="Arial" w:cs="Arial"/>
          <w:sz w:val="24"/>
          <w:szCs w:val="24"/>
        </w:rPr>
        <w:t>(Miller &amp; Fox, 2001)</w:t>
      </w:r>
      <w:r>
        <w:rPr>
          <w:rFonts w:ascii="Arial" w:hAnsi="Arial" w:cs="Arial"/>
          <w:sz w:val="24"/>
          <w:szCs w:val="24"/>
        </w:rPr>
        <w:fldChar w:fldCharType="end"/>
      </w:r>
      <w:r>
        <w:rPr>
          <w:rFonts w:ascii="Arial" w:hAnsi="Arial" w:cs="Arial"/>
          <w:sz w:val="24"/>
          <w:szCs w:val="24"/>
        </w:rPr>
        <w:t xml:space="preserve">. Por lo tanto, la capacidad de un equipo de investigación para comunicarse eficazmente a nivel internacional y lograr una comprensión mutua de conceptos y métodos está lejos de ser obvia </w:t>
      </w:r>
      <w:r>
        <w:rPr>
          <w:rFonts w:ascii="Arial" w:hAnsi="Arial" w:cs="Arial"/>
          <w:sz w:val="24"/>
          <w:szCs w:val="24"/>
        </w:rPr>
        <w:fldChar w:fldCharType="begin"/>
      </w:r>
      <w:r>
        <w:rPr>
          <w:rFonts w:ascii="Arial" w:hAnsi="Arial" w:cs="Arial"/>
          <w:sz w:val="24"/>
          <w:szCs w:val="24"/>
        </w:rPr>
        <w:instrText xml:space="preserve"> ADDIN ZOTERO_ITEM CSL_CITATION {"citationID":"yLTqcEss","properties":{"formattedCitation":"(Penn &amp; Watermeyer, 2018)","plainCitation":"(Penn &amp; Watermeyer, 2018)","noteIndex":0},"citationItems":[{"id":8575,"uris":["http://zotero.org/users/2351503/items/CVXCEP7X"],"itemData":{"id":8575,"type":"chapter","abstract":"This chapter provides detailed evidence of verbal and non-verbal strategies which emerge in intercultural health interactions when there is no third party or cultural broker present. These strategies of collaboration include the use of code switching, management of terminological confusions and a range of non-verbal elements, including the use of props. The notion of ‘magic moments’ is described in relation to moments of connection, and some specific features such as metaphors, analogies and humour are exemplified. The language of adherence, informed consent and risk and uncertainty are considered and illustrated. The argument is made that diversity in the clinic may be a resource rather than a barrier and that the mutual effort needed to avoid misunderstandings is often successful.","collection-title":"Communicating in Professions and Organizations","container-title":"Communicating Across Cultures and Languages in the Health Care Setting: Voices of Care","event-place":"London","ISBN":"978-1-137-58100-6","language":"en","note":"DOI: 10.1057/978-1-137-58100-6_6","page":"207-261","publisher":"Palgrave Macmillan UK","publisher-place":"London","source":"Springer Link","title":"Verbal and Non-Verbal Dimensions of the Intercultural Health Setting","URL":"https://doi.org/10.1057/978-1-137-58100-6_6","author":[{"family":"Penn","given":"Claire"},{"family":"Watermeyer","given":"Jennifer"}],"editor":[{"family":"Penn","given":"Claire"},{"family":"Watermeyer","given":"Jennifer"}],"accessed":{"date-parts":[["2021",12,14]]},"issued":{"date-parts":[["2018"]]}}}],"schema":"https://github.com/citation-style-language/schema/raw/master/csl-citation.json"} </w:instrText>
      </w:r>
      <w:r>
        <w:rPr>
          <w:rFonts w:ascii="Arial" w:hAnsi="Arial" w:cs="Arial"/>
          <w:sz w:val="24"/>
          <w:szCs w:val="24"/>
        </w:rPr>
        <w:fldChar w:fldCharType="separate"/>
      </w:r>
      <w:r>
        <w:rPr>
          <w:rFonts w:ascii="Arial" w:hAnsi="Arial" w:cs="Arial"/>
          <w:sz w:val="24"/>
          <w:szCs w:val="24"/>
        </w:rPr>
        <w:t>(Penn &amp; Watermeyer, 2018)</w:t>
      </w:r>
      <w:r>
        <w:rPr>
          <w:rFonts w:ascii="Arial" w:hAnsi="Arial" w:cs="Arial"/>
          <w:sz w:val="24"/>
          <w:szCs w:val="24"/>
        </w:rPr>
        <w:fldChar w:fldCharType="end"/>
      </w:r>
      <w:r>
        <w:rPr>
          <w:rFonts w:ascii="Arial" w:hAnsi="Arial" w:cs="Arial"/>
          <w:sz w:val="24"/>
          <w:szCs w:val="24"/>
        </w:rPr>
        <w:t>.</w:t>
      </w:r>
    </w:p>
    <w:p w14:paraId="310E7B2B" w14:textId="77777777" w:rsidR="0093626A" w:rsidRDefault="0093626A" w:rsidP="005915A7">
      <w:pPr>
        <w:spacing w:after="0" w:line="360" w:lineRule="auto"/>
        <w:jc w:val="both"/>
        <w:rPr>
          <w:rFonts w:ascii="Arial" w:hAnsi="Arial" w:cs="Arial"/>
          <w:bCs/>
          <w:sz w:val="24"/>
          <w:szCs w:val="24"/>
        </w:rPr>
      </w:pPr>
    </w:p>
    <w:p w14:paraId="1397FC30" w14:textId="77777777" w:rsidR="0093626A" w:rsidRDefault="00000000" w:rsidP="00634580">
      <w:pPr>
        <w:spacing w:after="0" w:line="360" w:lineRule="auto"/>
        <w:ind w:firstLine="708"/>
        <w:jc w:val="both"/>
        <w:rPr>
          <w:rFonts w:ascii="Arial" w:hAnsi="Arial" w:cs="Arial"/>
          <w:bCs/>
          <w:sz w:val="24"/>
          <w:szCs w:val="24"/>
        </w:rPr>
      </w:pPr>
      <w:r>
        <w:rPr>
          <w:rFonts w:ascii="Arial" w:hAnsi="Arial" w:cs="Arial"/>
          <w:bCs/>
          <w:sz w:val="24"/>
          <w:szCs w:val="24"/>
        </w:rPr>
        <w:t xml:space="preserve">Finalmente, </w:t>
      </w:r>
      <w:r>
        <w:rPr>
          <w:rFonts w:ascii="Arial" w:hAnsi="Arial" w:cs="Arial"/>
          <w:bCs/>
          <w:i/>
          <w:iCs/>
          <w:sz w:val="24"/>
          <w:szCs w:val="24"/>
        </w:rPr>
        <w:t>las consideraciones éticas</w:t>
      </w:r>
      <w:r>
        <w:rPr>
          <w:rFonts w:ascii="Arial" w:hAnsi="Arial" w:cs="Arial"/>
          <w:bCs/>
          <w:sz w:val="24"/>
          <w:szCs w:val="24"/>
        </w:rPr>
        <w:t xml:space="preserve"> </w:t>
      </w:r>
      <w:r>
        <w:rPr>
          <w:rFonts w:ascii="Arial" w:hAnsi="Arial" w:cs="Arial"/>
          <w:bCs/>
          <w:sz w:val="24"/>
          <w:szCs w:val="24"/>
          <w:shd w:val="clear" w:color="auto" w:fill="FFFFFF" w:themeFill="background1"/>
        </w:rPr>
        <w:t>plantean por su parte grandes</w:t>
      </w:r>
      <w:r>
        <w:rPr>
          <w:rFonts w:ascii="Arial" w:hAnsi="Arial" w:cs="Arial"/>
          <w:bCs/>
          <w:sz w:val="24"/>
          <w:szCs w:val="24"/>
        </w:rPr>
        <w:t xml:space="preserve"> desafíos a la investigación colaborativa:</w:t>
      </w:r>
    </w:p>
    <w:p w14:paraId="48B26F90" w14:textId="77777777" w:rsidR="0093626A" w:rsidRDefault="00000000" w:rsidP="005915A7">
      <w:pPr>
        <w:pStyle w:val="Prrafodelista"/>
        <w:numPr>
          <w:ilvl w:val="0"/>
          <w:numId w:val="8"/>
        </w:numPr>
        <w:spacing w:after="0" w:line="360" w:lineRule="auto"/>
        <w:contextualSpacing w:val="0"/>
        <w:jc w:val="both"/>
        <w:rPr>
          <w:rFonts w:ascii="Arial" w:hAnsi="Arial" w:cs="Arial"/>
          <w:bCs/>
          <w:sz w:val="24"/>
          <w:szCs w:val="24"/>
        </w:rPr>
      </w:pPr>
      <w:r>
        <w:rPr>
          <w:rFonts w:ascii="Arial" w:hAnsi="Arial" w:cs="Arial"/>
          <w:bCs/>
          <w:sz w:val="24"/>
          <w:szCs w:val="24"/>
        </w:rPr>
        <w:t>La cuestión de las relaciones de poder es fundamental en el marco de colaboraciones internacionales. Algunos grupos locales carecen</w:t>
      </w:r>
      <w:r>
        <w:rPr>
          <w:rFonts w:ascii="Arial" w:hAnsi="Arial" w:cs="Arial"/>
          <w:bCs/>
          <w:i/>
          <w:sz w:val="24"/>
          <w:szCs w:val="24"/>
        </w:rPr>
        <w:t xml:space="preserve"> </w:t>
      </w:r>
      <w:r>
        <w:rPr>
          <w:rFonts w:ascii="Arial" w:hAnsi="Arial" w:cs="Arial"/>
          <w:bCs/>
          <w:iCs/>
          <w:sz w:val="24"/>
          <w:szCs w:val="24"/>
        </w:rPr>
        <w:t>de</w:t>
      </w:r>
      <w:r>
        <w:rPr>
          <w:rFonts w:ascii="Arial" w:hAnsi="Arial" w:cs="Arial"/>
          <w:bCs/>
          <w:i/>
          <w:sz w:val="24"/>
          <w:szCs w:val="24"/>
        </w:rPr>
        <w:t xml:space="preserve"> </w:t>
      </w:r>
      <w:r>
        <w:rPr>
          <w:rFonts w:ascii="Arial" w:hAnsi="Arial" w:cs="Arial"/>
          <w:bCs/>
          <w:sz w:val="24"/>
          <w:szCs w:val="24"/>
        </w:rPr>
        <w:t xml:space="preserve">representatividad y </w:t>
      </w:r>
      <w:r>
        <w:rPr>
          <w:rFonts w:ascii="Arial" w:hAnsi="Arial" w:cs="Arial"/>
          <w:bCs/>
          <w:sz w:val="24"/>
          <w:szCs w:val="24"/>
          <w:shd w:val="clear" w:color="auto" w:fill="FFFFFF" w:themeFill="background1"/>
        </w:rPr>
        <w:t xml:space="preserve">credibilidad ante las comunidades académicas, que generalmente son las que coordinan los proyectos de investigación </w:t>
      </w:r>
      <w:r>
        <w:rPr>
          <w:rFonts w:ascii="Arial" w:hAnsi="Arial" w:cs="Arial"/>
          <w:bCs/>
          <w:sz w:val="24"/>
          <w:szCs w:val="24"/>
          <w:shd w:val="clear" w:color="auto" w:fill="FFFFFF" w:themeFill="background1"/>
        </w:rPr>
        <w:fldChar w:fldCharType="begin"/>
      </w:r>
      <w:r>
        <w:rPr>
          <w:rFonts w:ascii="Arial" w:hAnsi="Arial" w:cs="Arial"/>
          <w:bCs/>
          <w:sz w:val="24"/>
          <w:szCs w:val="24"/>
          <w:shd w:val="clear" w:color="auto" w:fill="FFFFFF" w:themeFill="background1"/>
        </w:rPr>
        <w:instrText xml:space="preserve"> ADDIN ZOTERO_ITEM CSL_CITATION {"citationID":"V3nPmzy0","properties":{"formattedCitation":"(Marshall &amp; Batten, 2004)","plainCitation":"(Marshall &amp; Batten, 2004)","noteIndex":0},"citationItems":[{"id":22387,"uris":["http://zotero.org/users/2351503/items/YKYQPPIY"],"itemData":{"id":22387,"type":"article-journal","abstract":"Kulturelle Unterschiede manifestieren sich in allen Beziehungen, Forschungsbeziehungen eingeschlossen. Akademische Forschung wird über verschiedene Kulturen hinweg durchgeführt, die nicht durch ethnische Grenzen beschrieben werden können. Welche Dimensionen müssen akademische Forscher und Forscherinnen besonders berücksichtigen, wenn sie interkulturelle Projekte konzipieren und umsetzen? Eine Durchsicht der relevanten Literatur zeigt, dass ethische Fragen immer schon mit Machtaspekten in der Forschungsbeziehung verbunden sind: Zustimmung, der Prozess des Forschens, Forschungsdesign, Dateneigentum und Datennutzung ergeben sich in der Folge als wichtige Dimension zum Verstehen von Ethik und Macht.\nURN: urn:nbn:de:0114-fqs0403396","container-title":"Forum Qualitative Sozialforschung / Forum: Qualitative Social Research","DOI":"10.17169/fqs-5.3.572","ISSN":"1438-5627","issue":"3","language":"en","license":"Copyright (c) 2004 Anne Marshall, Suzanne Batten","note":"number: 3","source":"www.qualitative-research.net","title":"Researching Across Cultures: Issues of Ethics and Power","title-short":"Researching Across Cultures","URL":"https://www.qualitative-research.net/index.php/fqs/article/view/572","volume":"5","author":[{"family":"Marshall","given":"Anne"},{"family":"Batten","given":"Suzanne"}],"accessed":{"date-parts":[["2023",6,19]]},"issued":{"date-parts":[["2004",9,30]]}}}],"schema":"https://github.com/citation-style-language/schema/raw/master/csl-citation.json"} </w:instrText>
      </w:r>
      <w:r>
        <w:rPr>
          <w:rFonts w:ascii="Arial" w:hAnsi="Arial" w:cs="Arial"/>
          <w:bCs/>
          <w:sz w:val="24"/>
          <w:szCs w:val="24"/>
          <w:shd w:val="clear" w:color="auto" w:fill="FFFFFF" w:themeFill="background1"/>
        </w:rPr>
        <w:fldChar w:fldCharType="separate"/>
      </w:r>
      <w:r>
        <w:rPr>
          <w:rFonts w:ascii="Arial" w:hAnsi="Arial" w:cs="Arial"/>
          <w:sz w:val="24"/>
          <w:szCs w:val="24"/>
          <w:shd w:val="clear" w:color="auto" w:fill="FFFFFF" w:themeFill="background1"/>
        </w:rPr>
        <w:t>(Marshall &amp; Batten, 2004)</w:t>
      </w:r>
      <w:r>
        <w:rPr>
          <w:rFonts w:ascii="Arial" w:hAnsi="Arial" w:cs="Arial"/>
          <w:bCs/>
          <w:sz w:val="24"/>
          <w:szCs w:val="24"/>
          <w:shd w:val="clear" w:color="auto" w:fill="FFFFFF" w:themeFill="background1"/>
        </w:rPr>
        <w:fldChar w:fldCharType="end"/>
      </w:r>
      <w:r>
        <w:rPr>
          <w:rFonts w:ascii="Arial" w:hAnsi="Arial" w:cs="Arial"/>
          <w:bCs/>
          <w:sz w:val="24"/>
          <w:szCs w:val="24"/>
          <w:shd w:val="clear" w:color="auto" w:fill="FFFFFF" w:themeFill="background1"/>
        </w:rPr>
        <w:t>. Las cuestiones éticas</w:t>
      </w:r>
      <w:r>
        <w:rPr>
          <w:rFonts w:ascii="Arial" w:hAnsi="Arial" w:cs="Arial"/>
          <w:bCs/>
          <w:sz w:val="24"/>
          <w:szCs w:val="24"/>
        </w:rPr>
        <w:t xml:space="preserve"> relativas a las relaciones de poder se refieren al consentimiento libre e informado, la confidencialidad de los datos, </w:t>
      </w:r>
      <w:r>
        <w:rPr>
          <w:rFonts w:ascii="Arial" w:hAnsi="Arial" w:cs="Arial"/>
          <w:bCs/>
          <w:sz w:val="24"/>
          <w:szCs w:val="24"/>
        </w:rPr>
        <w:lastRenderedPageBreak/>
        <w:t xml:space="preserve">el tipo de estudio elegido, procedimientos clave como la estrategia de investigación, la colecta, análisis y comparación de los datos, el papel de los participantes en la investigación y, en última instancia, los criterios de cientificidad </w:t>
      </w:r>
      <w:r>
        <w:rPr>
          <w:rFonts w:ascii="Arial" w:hAnsi="Arial" w:cs="Arial"/>
          <w:bCs/>
          <w:sz w:val="24"/>
          <w:szCs w:val="24"/>
        </w:rPr>
        <w:fldChar w:fldCharType="begin"/>
      </w:r>
      <w:r>
        <w:rPr>
          <w:rFonts w:ascii="Arial" w:hAnsi="Arial" w:cs="Arial"/>
          <w:bCs/>
          <w:sz w:val="24"/>
          <w:szCs w:val="24"/>
        </w:rPr>
        <w:instrText xml:space="preserve"> ADDIN ZOTERO_ITEM CSL_CITATION {"citationID":"mv5YT5Jo","properties":{"formattedCitation":"(Carrier, 2019; Pratt, 2021)","plainCitation":"(Carrier, 2019; Pratt, 2021)","noteIndex":0},"citationItems":[{"id":166,"uris":["http://zotero.org/users/2351503/items/TS4BGUXW"],"itemData":{"id":166,"type":"article-journal","abstract":"The notion of context, while underpinning everything that we do in health care, remains something that is difficult to define; however, it determines the success or failure of everything that we do, particularly in the global healthcare arena. Whether we consider context as an objective or subjective construct, it should influence every evidence-based decision we make as healthcare professionals. Methods developed as part of the implementation science movement, including realist synthesis and 'mindlines', emphasize the important of addressing social, cultural and environmental context-specific influences when considering the implementation of complex interventions, particularly in diverse populations. The Joanna Briggs Institute evidence-based clinical fellowship program empowers practitioners, through education, to implement evidence into their own practice areas, taking into account the key variables that impact on successful adoption.","container-title":"International Journal of Evidence-Based Healthcare","DOI":"10.1097/XEB.0000000000000182","ISSN":"1744-1609","journalAbbreviation":"Int J Evid Based Healthc","language":"eng","note":"PMID: 31283573","page":"S22-S23","source":"PubMed","title":"Implementing evidence in local and global contexts","volume":"17 Suppl 1","author":[{"family":"Carrier","given":"Judith"}],"issued":{"date-parts":[["2019",6]]}}},{"id":22415,"uris":["http://zotero.org/users/2351503/items/YKB3L6KH"],"itemData":{"id":22415,"type":"article-journal","abstract":"To promote social justice and equity, global health research should meaningfully engage communities throughout projects: from setting agendas onwards. But communities, especially those that are considered disadvantaged or marginalised, rarely have a say in the priorities of the research projects that aim to help them. So far, there remains limited ethical guidance and resources on how to share power with communities in health research priority-setting. This paper presents an “ethical toolkit” for academic researchers and their community partners to use to design priority-setting processes that meaningfully include the communities impacted by their projects. An empirical reflective equilibrium approach was employed to develop the toolkit. Conceptual work articulated ethical considerations related to sharing power in g0l0o0bal health research priority-setting, developed guidance on how to address them, and created an initial version of the toolkit. Empirical work (51 in-depth interviews, 1 focus group, 2 case studies in India and the Philippines) conducted in 2018 and 2019 then tested those findings against information from global health research practice. The final ethical toolkit is a reflective project planning aid. It consists of 4 worksheets (Worksheet 1- Selecting Partners; Worksheet 2- Deciding to Partner; Worksheet 3- Deciding to Engage with the Wider Community; Worksheet 4- Designing Priority-setting) and a Companion Document detailing how to use them. Reflecting on and discussing the questions in Worksheets 1 to 4 before priority-setting will help deliver priority-setting processes that share power with communities and projects with research topics and questions that more accurately reflect their healthcare and system needs.","container-title":"International Journal for Equity in Health","DOI":"10.1186/s12939-021-01453-y","ISSN":"1475-9276","issue":"1","journalAbbreviation":"International Journal for Equity in Health","page":"127","source":"BioMed Central","title":"Sharing power in global health research: an ethical toolkit for designing priority-setting processes that meaningfully include communities","title-short":"Sharing power in global health research","volume":"20","author":[{"family":"Pratt","given":"Bridget"}],"issued":{"date-parts":[["2021",5,25]]}}}],"schema":"https://github.com/citation-style-language/schema/raw/master/csl-citation.json"} </w:instrText>
      </w:r>
      <w:r>
        <w:rPr>
          <w:rFonts w:ascii="Arial" w:hAnsi="Arial" w:cs="Arial"/>
          <w:bCs/>
          <w:sz w:val="24"/>
          <w:szCs w:val="24"/>
        </w:rPr>
        <w:fldChar w:fldCharType="separate"/>
      </w:r>
      <w:r>
        <w:rPr>
          <w:rFonts w:ascii="Arial" w:hAnsi="Arial" w:cs="Arial"/>
          <w:sz w:val="24"/>
          <w:szCs w:val="24"/>
        </w:rPr>
        <w:t>(Carrier, 2019; Pratt, 2021)</w:t>
      </w:r>
      <w:r>
        <w:rPr>
          <w:rFonts w:ascii="Arial" w:hAnsi="Arial" w:cs="Arial"/>
          <w:bCs/>
          <w:sz w:val="24"/>
          <w:szCs w:val="24"/>
        </w:rPr>
        <w:fldChar w:fldCharType="end"/>
      </w:r>
      <w:r>
        <w:rPr>
          <w:rFonts w:ascii="Arial" w:hAnsi="Arial" w:cs="Arial"/>
          <w:bCs/>
          <w:sz w:val="24"/>
          <w:szCs w:val="24"/>
        </w:rPr>
        <w:t>.</w:t>
      </w:r>
    </w:p>
    <w:p w14:paraId="006ED503" w14:textId="77777777" w:rsidR="0093626A" w:rsidRDefault="00000000" w:rsidP="005915A7">
      <w:pPr>
        <w:pStyle w:val="Prrafodelista"/>
        <w:numPr>
          <w:ilvl w:val="0"/>
          <w:numId w:val="8"/>
        </w:numPr>
        <w:spacing w:after="0" w:line="360" w:lineRule="auto"/>
        <w:contextualSpacing w:val="0"/>
        <w:jc w:val="both"/>
        <w:rPr>
          <w:rFonts w:ascii="Arial" w:hAnsi="Arial" w:cs="Arial"/>
          <w:bCs/>
          <w:sz w:val="24"/>
          <w:szCs w:val="24"/>
          <w:lang w:val="fr-FR"/>
        </w:rPr>
      </w:pPr>
      <w:r>
        <w:rPr>
          <w:rFonts w:ascii="Arial" w:hAnsi="Arial" w:cs="Arial"/>
          <w:bCs/>
          <w:sz w:val="24"/>
          <w:szCs w:val="24"/>
        </w:rPr>
        <w:t xml:space="preserve">La noción de cultura se refiere directamente al sistema de valores y representaciones de los actores locales involucrados en la investigación internacional. Los factores socioculturales del contexto local a menudo están anclados en los estilos de vida </w:t>
      </w:r>
      <w:r>
        <w:rPr>
          <w:rFonts w:ascii="Arial" w:hAnsi="Arial" w:cs="Arial"/>
          <w:bCs/>
          <w:sz w:val="24"/>
          <w:szCs w:val="24"/>
          <w:shd w:val="clear" w:color="auto" w:fill="FFFFFF" w:themeFill="background1"/>
        </w:rPr>
        <w:t>de dichos actores que</w:t>
      </w:r>
      <w:r>
        <w:rPr>
          <w:rFonts w:ascii="Arial" w:hAnsi="Arial" w:cs="Arial"/>
          <w:bCs/>
          <w:sz w:val="24"/>
          <w:szCs w:val="24"/>
        </w:rPr>
        <w:t xml:space="preserve"> producen y reproducen relaciones social y culturalmente desiguales a través de sus prácticas cotidianas </w:t>
      </w:r>
      <w:r>
        <w:rPr>
          <w:rFonts w:ascii="Arial" w:hAnsi="Arial" w:cs="Arial"/>
          <w:bCs/>
          <w:sz w:val="24"/>
          <w:szCs w:val="24"/>
        </w:rPr>
        <w:fldChar w:fldCharType="begin"/>
      </w:r>
      <w:r>
        <w:rPr>
          <w:rFonts w:ascii="Arial" w:hAnsi="Arial" w:cs="Arial"/>
          <w:bCs/>
          <w:sz w:val="24"/>
          <w:szCs w:val="24"/>
        </w:rPr>
        <w:instrText xml:space="preserve"> ADDIN ZOTERO_ITEM CSL_CITATION {"citationID":"sqVP3RMJ","properties":{"formattedCitation":"(Mass\\uc0\\u233{}, 1995)","plainCitation":"(Massé, 1995)","noteIndex":0},"citationItems":[{"id":22391,"uris":["http://zotero.org/users/2351503/items/5D4P9Y2Q"],"itemData":{"id":22391,"type":"book","abstract":"Les rapports entre la culture, la santé et la maladie sont au coeur des débats contemporains en santé publique. On reconnaît que les croyances, les valeurs ou les représentations de la santé et de la maladie ont une incidence sur les comportements à risque, les pratiques préventives et les attitudes des populations face aux sevices de santé. L'intérêt pour ces facteurs culturels est toutefois freiné par une par une méconnaissance des concepts et modèles qui permettent d'en faire un usage judicieux dans les recherches et les pratiques professionnelles. Le présent ouvrage vise donc à initier les professionnels de ls anté, les intervenants de la santé publique et les étudiants universitaires aux contributions faites par les sciences sociales, et tout particulièrement par l'anthropologie, à l'analyse des rapports existant entre santé et culture. Le fait de définir la santé et la maladie comme des constructions socioculturelles entraîne souvent une remise en question de concepts et de modèles généralement admis par les sciences de la santé. C'est toutefois le large potentiel de complémentarité des approches qui est mis en évidence à travers les trois grands dossiers traités dans cet ouvrage, soit: les contributions de l'épidémiologie socioculturelle et d'une ethnoépidémiologie à la définition et à l'explication des maladies ; la place des savoirs et des logiques populaires dans l'élaboration de programmes de prévention qui tiennent compte de la culture des populations ciblées ; et la place des facteurs culturels dans une analyse multifactorielle de la santé des groupes ethniques minoritaires québécois. Contient un chapitre sur la santé, la culture et l'immigration. [Editeur]","ISBN":"978-2-89105-565-9","language":"fr","note":"Google-Books-ID: Ymx4QgAACAAJ","number-of-pages":"499","publisher":"G. Morin","source":"Google Books","title":"Culture et santé publique: les contributions de l'anthropologie à la prévention et à la promotion de la santé","title-short":"Culture et santé publique","author":[{"family":"Massé","given":"Raymond"}],"issued":{"date-parts":[["1995"]]}}}],"schema":"https://github.com/citation-style-language/schema/raw/master/csl-citation.json"} </w:instrText>
      </w:r>
      <w:r>
        <w:rPr>
          <w:rFonts w:ascii="Arial" w:hAnsi="Arial" w:cs="Arial"/>
          <w:bCs/>
          <w:sz w:val="24"/>
          <w:szCs w:val="24"/>
        </w:rPr>
        <w:fldChar w:fldCharType="separate"/>
      </w:r>
      <w:r>
        <w:rPr>
          <w:rFonts w:ascii="Arial" w:hAnsi="Arial" w:cs="Arial"/>
          <w:kern w:val="0"/>
          <w:sz w:val="24"/>
          <w:szCs w:val="24"/>
        </w:rPr>
        <w:t>(Massé, 1995)</w:t>
      </w:r>
      <w:r>
        <w:rPr>
          <w:rFonts w:ascii="Arial" w:hAnsi="Arial" w:cs="Arial"/>
          <w:bCs/>
          <w:sz w:val="24"/>
          <w:szCs w:val="24"/>
        </w:rPr>
        <w:fldChar w:fldCharType="end"/>
      </w:r>
      <w:r>
        <w:rPr>
          <w:rFonts w:ascii="Arial" w:hAnsi="Arial" w:cs="Arial"/>
          <w:bCs/>
          <w:sz w:val="24"/>
          <w:szCs w:val="24"/>
        </w:rPr>
        <w:t xml:space="preserve">. Este fenómeno puede fomentar el surgimiento de relaciones socioculturales basadas en el racismo y los prejuicios, las desigualdades culturales y los procesos de aculturación étnica </w:t>
      </w:r>
      <w:r>
        <w:rPr>
          <w:rFonts w:ascii="Arial" w:hAnsi="Arial" w:cs="Arial"/>
          <w:bCs/>
          <w:sz w:val="24"/>
          <w:szCs w:val="24"/>
        </w:rPr>
        <w:fldChar w:fldCharType="begin"/>
      </w:r>
      <w:r>
        <w:rPr>
          <w:rFonts w:ascii="Arial" w:hAnsi="Arial" w:cs="Arial"/>
          <w:bCs/>
          <w:sz w:val="24"/>
          <w:szCs w:val="24"/>
        </w:rPr>
        <w:instrText xml:space="preserve"> ADDIN ZOTERO_ITEM CSL_CITATION {"citationID":"uWG3BLwQ","properties":{"formattedCitation":"(Atkins et al., 2016; Suarez-Herrera et al., 2013)","plainCitation":"(Atkins et al., 2016; Suarez-Herrera et al., 2013)","noteIndex":0},"citationItems":[{"id":215,"uris":["http://zotero.org/users/2351503/items/LHDKHSAV"],"itemData":{"id":215,"type":"article-journal","abstract":"Research capacity enhancement is needed in low- and middle-income countries (LMICs) for improved health, wellbeing, and health systems’ development. In this article, we discuss two capacity-building projects, the African/Asian Regional Capacity Development (ARCADE) in Health Systems and Services Research (HSSR) and Research on Social Determinants of Health (RSDH), implemented from 2011 to 2015. The two projects focussed on providing courses in HSSR and social determinants of health research, and on developing collaborations between universities, along with capacity in LMIC universities to manage research grant submissions, financing, and reporting. Both face-to-face and sustainable online teaching and learning resources were used in training at higher postgraduate levels (Masters and Doctoral level).DesignWe collated project meeting and discussion minutes along with project periodic reports and deliverables. We extracted key outcomes from these, reflected on these in discussions, and summarised them for this paper.ResultsNearly 55 courses and modules were developed that were delivered to over 920 postgraduate students in Africa, Asia, and Europe. Junior researchers were mentored in presenting, developing, and delivering courses, and in preparing research proposals. In total, 60 collaborative funding proposals were prepared. The consortia also developed institutional capacity in research dissemination and grants management through webinars and workshops.DiscussionARCADE HSSR and ARCADE RSDH were comprehensive programmes, focussing on developing the research skills, knowledge, and capabilities of junior researchers. One of the main strengths of these programmes was the focus on network building amongst the partner institutions, where each partner brought skills, expertise, and diverse work cultures into the consortium. Through these efforts, the projects improved both the capacity of junior researchers and the research environment in Africa, Asia, and Europe.","container-title":"Global Health Action","DOI":"10.3402/gha.v9.30524","ISSN":"1654-9716","issue":"1","note":"PMID: 28156992","page":"30524","source":"Taylor and Francis+NEJM","title":"North–south collaboration and capacity development in global health research in low- and middle-income countries – the ARCADE projects","volume":"9","author":[{"family":"Atkins","given":"Salla"},{"family":"Marsden","given":"Sophie"},{"family":"Diwan","given":"Vishal"},{"family":"Zwarenstein","given":"Merrick"}],"issued":{"date-parts":[["2016",12,1]]}}},{"id":7192,"uris":["http://zotero.org/users/2351503/items/A6ZB5P44"],"itemData":{"id":7192,"type":"article-journal","abstract":"À la lumière des fondements conceptuels de la « théorie de l’acteur-réseau » (Callon, 1986; Latour, 2005), cet article développe une perspective innovatrice sur la pratique de la recherche participative en CSSS-CAU. Pour ce faire, nous montrerons comment certaines pratiques participatives associées à la recherche s’organisent graduellement sous forme de réseaux innovateurs de traduction des savoirs. Le cas du partenariat ARIMA, mis en oeuvre au Québec par le Centre de recherche et de partage des savoirs InterActions, servira d’illustration. La configuration partenariale de ce réseau est associée à de nombreuses traductions potentiellement transformatrices, ce qui lui donne une perspective de recherche innovatrice qui se construit dans un contexte complexe de mobilisation des savoirs intersectoriels.","container-title":"Nouvelles pratiques sociales","DOI":"https://doi.org/10.7202/1020822ar","ISSN":"0843-4468, 1703-9312","issue":"2","journalAbbreviation":"nps","language":"fr","page":"73-88","source":"www.erudit.org","title":"La recherche participative en CSSS-CAU : le cas du partenariat ARIMA comme réseau innovateur de traduction des savoirs","title-short":"La recherche participative en CSSS-CAU","volume":"25","author":[{"family":"Suarez-Herrera","given":"José Carlos"},{"family":"White","given":"Deena"},{"family":"Battaglini","given":"Alex"}],"issued":{"date-parts":[["2013"]]}}}],"schema":"https://github.com/citation-style-language/schema/raw/master/csl-citation.json"} </w:instrText>
      </w:r>
      <w:r>
        <w:rPr>
          <w:rFonts w:ascii="Arial" w:hAnsi="Arial" w:cs="Arial"/>
          <w:bCs/>
          <w:sz w:val="24"/>
          <w:szCs w:val="24"/>
        </w:rPr>
        <w:fldChar w:fldCharType="separate"/>
      </w:r>
      <w:r>
        <w:rPr>
          <w:rFonts w:ascii="Arial" w:hAnsi="Arial" w:cs="Arial"/>
          <w:sz w:val="24"/>
          <w:szCs w:val="24"/>
        </w:rPr>
        <w:t>(Atkins et al., 2016; Suarez-Herrera et al., 2013)</w:t>
      </w:r>
      <w:r>
        <w:rPr>
          <w:rFonts w:ascii="Arial" w:hAnsi="Arial" w:cs="Arial"/>
          <w:bCs/>
          <w:sz w:val="24"/>
          <w:szCs w:val="24"/>
        </w:rPr>
        <w:fldChar w:fldCharType="end"/>
      </w:r>
      <w:r>
        <w:rPr>
          <w:rFonts w:ascii="Arial" w:hAnsi="Arial" w:cs="Arial"/>
          <w:bCs/>
          <w:sz w:val="24"/>
          <w:szCs w:val="24"/>
          <w:lang w:val="fr-FR"/>
        </w:rPr>
        <w:t>.</w:t>
      </w:r>
    </w:p>
    <w:p w14:paraId="36EE8492" w14:textId="77777777" w:rsidR="0093626A" w:rsidRDefault="00000000" w:rsidP="005915A7">
      <w:pPr>
        <w:pStyle w:val="Prrafodelista"/>
        <w:numPr>
          <w:ilvl w:val="0"/>
          <w:numId w:val="8"/>
        </w:numPr>
        <w:spacing w:after="0" w:line="360" w:lineRule="auto"/>
        <w:contextualSpacing w:val="0"/>
        <w:jc w:val="both"/>
        <w:rPr>
          <w:rFonts w:ascii="Arial" w:hAnsi="Arial" w:cs="Arial"/>
          <w:sz w:val="24"/>
          <w:szCs w:val="24"/>
        </w:rPr>
      </w:pPr>
      <w:r>
        <w:rPr>
          <w:rFonts w:ascii="Arial" w:hAnsi="Arial" w:cs="Arial"/>
          <w:sz w:val="24"/>
          <w:szCs w:val="24"/>
        </w:rPr>
        <w:t xml:space="preserve">La legitimidad del conocimiento producido colectivamente puede llegar a representar un desafío ético importante en las iniciativas de colaboración internacional. Algunos grupos de actores locales pueden sospechar de los investigadores “extranjeros” debido a experiencias previas que no habían integrado sus puntos de vista en los resultados de los estudios </w:t>
      </w:r>
      <w:r>
        <w:rPr>
          <w:rFonts w:ascii="Arial" w:hAnsi="Arial" w:cs="Arial"/>
          <w:sz w:val="24"/>
          <w:szCs w:val="24"/>
        </w:rPr>
        <w:fldChar w:fldCharType="begin"/>
      </w:r>
      <w:r>
        <w:rPr>
          <w:rFonts w:ascii="Arial" w:hAnsi="Arial" w:cs="Arial"/>
          <w:sz w:val="24"/>
          <w:szCs w:val="24"/>
        </w:rPr>
        <w:instrText xml:space="preserve"> ADDIN ZOTERO_ITEM CSL_CITATION {"citationID":"89fryiEk","properties":{"formattedCitation":"(Gaborit et al., 2021)","plainCitation":"(Gaborit et al., 2021)","noteIndex":0},"citationItems":[{"id":22235,"uris":["http://zotero.org/users/2351503/items/EFFYVHWM"],"itemData":{"id":22235,"type":"article-journal","abstract":"Cette recherche interventionnelle analyse les dynamiques d’engagement dans la collaboration entre des chercheur.se.s de sciences humaines et sociales et deux soignantes en cancérologie, pilotes d’un dispositif d’éducation thérapeutique de patient·e·s sous anticancéreux oraux. Nous nous attachons à analyser et à réduire les asymétries de savoirs et de pouvoirs pour favoriser les relations d’échange entre diverses expertises. Cet article retrace plus particulièrement les processus sociaux et épistémiques qui font évoluer les modes de coordination entre acteur.ice.s. Une enquête ethnographique (par observation participante et entretiens auprès des enquêtés) des trois années de partenariat permet de relever, au sein de différentes arènes collaboratives, la variabilité des formes de traduction entre ces acteur·ice·s et les ajustements méthodologiques de la recherche lorsqu'elle se confronte aux enjeux de l’intervention. Différents registres de médiation sont mobilisés par les chercheur.se.s, comme par les pilotes, qui impactent les formes de coordination. Nos résultats montrent que des négociations et des accords sont réalisés sans aboutir à des coordinations maximalistes, qui autoriseraient un travail commun de promotion de la RISP.","container-title":"Global Health Promotion","DOI":"10.1177/1757975920986709","ISSN":"1757-9759","issue":"1_suppl","journalAbbreviation":"Glob Health Promot","language":"en","note":"publisher: SAGE Publications Ltd","page":"39-46","source":"SAGE Journals","title":"Étudier de près les modes de coordination pour construire un partenariat visant à réduire les inégalités épistémiques","volume":"28","author":[{"family":"Gaborit","given":"Emilie"},{"family":"Terral","given":"Philippe"},{"family":"Génolini","given":"Jean-Paul"}],"issued":{"date-parts":[["2021",3,1]]}}}],"schema":"https://github.com/citation-style-language/schema/raw/master/csl-citation.json"} </w:instrText>
      </w:r>
      <w:r>
        <w:rPr>
          <w:rFonts w:ascii="Arial" w:hAnsi="Arial" w:cs="Arial"/>
          <w:sz w:val="24"/>
          <w:szCs w:val="24"/>
        </w:rPr>
        <w:fldChar w:fldCharType="separate"/>
      </w:r>
      <w:r>
        <w:rPr>
          <w:rFonts w:ascii="Arial" w:hAnsi="Arial" w:cs="Arial"/>
          <w:sz w:val="24"/>
          <w:szCs w:val="24"/>
        </w:rPr>
        <w:t>(Gaborit et al., 2021)</w:t>
      </w:r>
      <w:r>
        <w:rPr>
          <w:rFonts w:ascii="Arial" w:hAnsi="Arial" w:cs="Arial"/>
          <w:sz w:val="24"/>
          <w:szCs w:val="24"/>
        </w:rPr>
        <w:fldChar w:fldCharType="end"/>
      </w:r>
      <w:r>
        <w:rPr>
          <w:rFonts w:ascii="Arial" w:hAnsi="Arial" w:cs="Arial"/>
          <w:sz w:val="24"/>
          <w:szCs w:val="24"/>
        </w:rPr>
        <w:t xml:space="preserve">. Por otro lado, los investigadores tienden a generalizar sus hallazgos como verdades absolutas que a menudo resultan ser culturalmente imprecisas y contextualmente inexplícitas </w:t>
      </w:r>
      <w:r>
        <w:rPr>
          <w:rFonts w:ascii="Arial" w:hAnsi="Arial" w:cs="Arial"/>
          <w:sz w:val="24"/>
          <w:szCs w:val="24"/>
        </w:rPr>
        <w:fldChar w:fldCharType="begin"/>
      </w:r>
      <w:r>
        <w:rPr>
          <w:rFonts w:ascii="Arial" w:hAnsi="Arial" w:cs="Arial"/>
          <w:sz w:val="24"/>
          <w:szCs w:val="24"/>
        </w:rPr>
        <w:instrText xml:space="preserve"> ADDIN ZOTERO_ITEM CSL_CITATION {"citationID":"5Vrdi6rS","properties":{"formattedCitation":"(Besson, 2022; David, 2002)","plainCitation":"(Besson, 2022; David, 2002)","noteIndex":0},"citationItems":[{"id":22345,"uris":["http://zotero.org/users/2351503/items/6D86TZW5"],"itemData":{"id":22345,"type":"article-journal","abstract":"Epistemic injustice is a growing area of study for researchers and practitioners working in the field of global health. Theoretical development and empirical research on epistemic injustice are crucial for providing more nuanced understandings of the mechanisms and structures leading to the exclusion of local and marginalised groups in research and other knowledge practices. Explicit analysis of the potential role of epistemic injustice in policies and practices is currently limited with the absence of methodological starting points. This paper aims to fill this gap in the literature by providing a guide for individuals involved in the design and review of funding schemes wishing to conduct epistemic injustice analysis of their processes using a decolonial lens. Placing contemporary concerns in a wider historical, political and social context and building from the intertwined issues of coloniality of power, coloniality of knowledge and coloniality of being that systematically exclude non-Western epistemic groups, this practice paper presents a three-step decolonial approach for understanding the role and impact of epistemic injustices in global health research funding. It starts with an understanding of how power operates in setting the aim of a call for research proposals. Then, the influence of pose and gaze in the review process is analysed to highlight the presence of epistemological colonisation before discussing methods to address the current funding asymmetries by supporting new ways of being and doing focused on knowledge plurality. Expanding research on how epistemic wrongs manifest in global health funding practices will generate key insights needed to address underlying drivers of inequities within global health project conception and delivery.","container-title":"BMJ Global Health","DOI":"10.1136/bmjgh-2022-008950","ISSN":"2059-7908","issue":"4","language":"en","license":"© Author(s) (or their employer(s)) 2022. Re-use permitted under CC BY-NC. No commercial re-use. See rights and permissions. Published by BMJ.. http://creativecommons.org/licenses/by-nc/4.0/This is an open access article distributed in accordance with the Creative Commons Attribution Non Commercial (CC BY-NC 4.0) license, which permits others to distribute, remix, adapt, build upon this work non-commercially, and license their derivative works on different terms, provided the original work is properly cited, appropriate credit is given, any changes made indicated, and the use is non-commercial. See: http://creativecommons.org/licenses/by-nc/4.0/.","note":"publisher: BMJ Specialist Journals\nsection: Practice\nPMID: 35470130","page":"e008950","source":"gh.bmj.com","title":"How to identify epistemic injustice in global health research funding practices: a decolonial guide","title-short":"How to identify epistemic injustice in global health research funding practices","volume":"7","author":[{"family":"Besson","given":"Emilie S. Koum"}],"issued":{"date-parts":[["2022",4,1]]}}},{"id":1585,"uris":["http://zotero.org/users/2351503/items/WMVMJWAJ"],"itemData":{"id":1585,"type":"article-journal","abstract":"Dans cet article, l’auteur montre l’apport de March à la remise en cause d’un certain nombre d’idées reçues comme l’optimisation, le sujet unique de l’action collective, l’adéquation entre une solution et un problème, les sciences de gestion comme une ethnologie restreinte à l’entreprise., Decision, conception et research in management science In this article, the author shows how James March has contributed to questioning some generally accepted ideas such as optimisation, unique subject of collective action, adequacy between a solution and a problem and management science as an ethnology only based on the firm.","container-title":"Revue française de gestion","ISSN":"0338-4551","issue":"3","language":"fr","page":"173-185","source":"Cairn.info","title":"Décision, conception et recherche en sciences de gestion","volume":"no 139","author":[{"family":"David","given":"Albert"}],"issued":{"date-parts":[["2002"]]}}}],"schema":"https://github.com/citation-style-language/schema/raw/master/csl-citation.json"} </w:instrText>
      </w:r>
      <w:r>
        <w:rPr>
          <w:rFonts w:ascii="Arial" w:hAnsi="Arial" w:cs="Arial"/>
          <w:sz w:val="24"/>
          <w:szCs w:val="24"/>
        </w:rPr>
        <w:fldChar w:fldCharType="separate"/>
      </w:r>
      <w:r>
        <w:rPr>
          <w:rFonts w:ascii="Arial" w:hAnsi="Arial" w:cs="Arial"/>
          <w:sz w:val="24"/>
          <w:szCs w:val="24"/>
        </w:rPr>
        <w:t>(Besson, 2022; David, 2002)</w:t>
      </w:r>
      <w:r>
        <w:rPr>
          <w:rFonts w:ascii="Arial" w:hAnsi="Arial" w:cs="Arial"/>
          <w:sz w:val="24"/>
          <w:szCs w:val="24"/>
        </w:rPr>
        <w:fldChar w:fldCharType="end"/>
      </w:r>
      <w:r>
        <w:rPr>
          <w:rFonts w:ascii="Arial" w:hAnsi="Arial" w:cs="Arial"/>
          <w:sz w:val="24"/>
          <w:szCs w:val="24"/>
        </w:rPr>
        <w:t>.</w:t>
      </w:r>
    </w:p>
    <w:p w14:paraId="77609C85" w14:textId="77777777" w:rsidR="0093626A" w:rsidRPr="00634580" w:rsidRDefault="00000000" w:rsidP="005915A7">
      <w:pPr>
        <w:pStyle w:val="Ttulo1"/>
        <w:spacing w:before="120" w:after="120" w:line="360" w:lineRule="auto"/>
        <w:jc w:val="both"/>
        <w:rPr>
          <w:rFonts w:ascii="Arial" w:hAnsi="Arial" w:cs="Arial"/>
          <w:b/>
          <w:bCs/>
          <w:color w:val="auto"/>
          <w:sz w:val="24"/>
          <w:szCs w:val="24"/>
        </w:rPr>
      </w:pPr>
      <w:r w:rsidRPr="00634580">
        <w:rPr>
          <w:rFonts w:ascii="Arial" w:hAnsi="Arial" w:cs="Arial"/>
          <w:b/>
          <w:bCs/>
          <w:color w:val="auto"/>
          <w:sz w:val="24"/>
          <w:szCs w:val="24"/>
        </w:rPr>
        <w:t>Las comunidades epistémicas como estrategia para la implementación de la investigación colaborativa en Salud Global</w:t>
      </w:r>
    </w:p>
    <w:p w14:paraId="50618A8F" w14:textId="77777777" w:rsidR="0093626A" w:rsidRDefault="00000000" w:rsidP="005915A7">
      <w:pPr>
        <w:spacing w:after="0" w:line="360" w:lineRule="auto"/>
        <w:jc w:val="both"/>
        <w:rPr>
          <w:rFonts w:ascii="Arial" w:hAnsi="Arial" w:cs="Arial"/>
          <w:sz w:val="24"/>
          <w:szCs w:val="24"/>
        </w:rPr>
      </w:pPr>
      <w:r>
        <w:rPr>
          <w:rFonts w:ascii="Arial" w:hAnsi="Arial" w:cs="Arial"/>
          <w:sz w:val="24"/>
          <w:szCs w:val="24"/>
        </w:rPr>
        <w:t xml:space="preserve">Una red transnacional de investigación colaborativa propone un enfoque paradójico que tiene lugar a nivel local, pero refiere a problemas organizativos, epistemológicos y éticos más generales relacionados con la “glocalización” de la salud pública </w:t>
      </w:r>
      <w:r>
        <w:rPr>
          <w:rFonts w:ascii="Arial" w:hAnsi="Arial" w:cs="Arial"/>
          <w:sz w:val="24"/>
          <w:szCs w:val="24"/>
        </w:rPr>
        <w:fldChar w:fldCharType="begin"/>
      </w:r>
      <w:r>
        <w:rPr>
          <w:rFonts w:ascii="Arial" w:hAnsi="Arial" w:cs="Arial"/>
          <w:sz w:val="24"/>
          <w:szCs w:val="24"/>
        </w:rPr>
        <w:instrText xml:space="preserve"> ADDIN ZOTERO_ITEM CSL_CITATION {"citationID":"e4hoardK","properties":{"formattedCitation":"(Kickbusch, 1999)","plainCitation":"(Kickbusch, 1999)","noteIndex":0},"citationItems":[{"id":508,"uris":["http://zotero.org/users/2351503/items/VUH4BV9T"],"itemData":{"id":508,"type":"article-journal","abstract":"The WHO Healthy Cities will be 15 years old in the year\n2000. It has proved an exceptionally sustainable WHO initiative\nand is still experiencing growth around the globe.\nThis is all the more noteworthy because the world has\nchanged significantly since the time when the Healthy Cities\nproject was first launched in Europe in 1986.1 The initial\nproject was driven by two key ideas: the rediscovery of\nthe importance and potential of local public health and the\nlinking of cities from around Europe into a network with a\ncommon purpose. At present the interest and discourse has\nshifted from the “local” to the “global”. Does this mean\nthat the global now dominates the local? Or can the local\nrespond adequately to global pressures? What can Healthy\nCities contribute to this debate?","container-title":"Journal of Epidemiology and Community Health","ISSN":"0143-005X","issue":"8","journalAbbreviation":"J Epidemiol Community Health","note":"PMID: 10562861\nPMCID: PMC1756938","page":"451-452","source":"PubMed Central","title":"Global + local = glocal public health","volume":"53","author":[{"family":"Kickbusch","given":"Ilona"}],"issued":{"date-parts":[["1999",8]]}}}],"schema":"https://github.com/citation-style-language/schema/raw/master/csl-citation.json"} </w:instrText>
      </w:r>
      <w:r>
        <w:rPr>
          <w:rFonts w:ascii="Arial" w:hAnsi="Arial" w:cs="Arial"/>
          <w:sz w:val="24"/>
          <w:szCs w:val="24"/>
        </w:rPr>
        <w:fldChar w:fldCharType="separate"/>
      </w:r>
      <w:r>
        <w:rPr>
          <w:rFonts w:ascii="Arial" w:hAnsi="Arial" w:cs="Arial"/>
          <w:sz w:val="24"/>
          <w:szCs w:val="24"/>
        </w:rPr>
        <w:t>(Kickbusch, 1999)</w:t>
      </w:r>
      <w:r>
        <w:rPr>
          <w:rFonts w:ascii="Arial" w:hAnsi="Arial" w:cs="Arial"/>
          <w:sz w:val="24"/>
          <w:szCs w:val="24"/>
        </w:rPr>
        <w:fldChar w:fldCharType="end"/>
      </w:r>
      <w:r>
        <w:rPr>
          <w:rFonts w:ascii="Arial" w:hAnsi="Arial" w:cs="Arial"/>
          <w:sz w:val="24"/>
          <w:szCs w:val="24"/>
        </w:rPr>
        <w:t xml:space="preserve">, la tensión entre singularidad y generalidad, la diversidad cultural de los procesos de producción de conocimiento y las manifestaciones locales de relaciones de poder y control social </w:t>
      </w:r>
      <w:r>
        <w:rPr>
          <w:rFonts w:ascii="Arial" w:hAnsi="Arial" w:cs="Arial"/>
          <w:sz w:val="24"/>
          <w:szCs w:val="24"/>
        </w:rPr>
        <w:fldChar w:fldCharType="begin"/>
      </w:r>
      <w:r>
        <w:rPr>
          <w:rFonts w:ascii="Arial" w:hAnsi="Arial" w:cs="Arial"/>
          <w:sz w:val="24"/>
          <w:szCs w:val="24"/>
        </w:rPr>
        <w:instrText xml:space="preserve"> ADDIN ZOTERO_ITEM CSL_CITATION {"citationID":"IBjBIlSq","properties":{"formattedCitation":"(Besson, 2022)","plainCitation":"(Besson, 2022)","noteIndex":0},"citationItems":[{"id":22345,"uris":["http://zotero.org/users/2351503/items/6D86TZW5"],"itemData":{"id":22345,"type":"article-journal","abstract":"Epistemic injustice is a growing area of study for researchers and practitioners working in the field of global health. Theoretical development and empirical research on epistemic injustice are crucial for providing more nuanced understandings of the mechanisms and structures leading to the exclusion of local and marginalised groups in research and other knowledge practices. Explicit analysis of the potential role of epistemic injustice in policies and practices is currently limited with the absence of methodological starting points. This paper aims to fill this gap in the literature by providing a guide for individuals involved in the design and review of funding schemes wishing to conduct epistemic injustice analysis of their processes using a decolonial lens. Placing contemporary concerns in a wider historical, political and social context and building from the intertwined issues of coloniality of power, coloniality of knowledge and coloniality of being that systematically exclude non-Western epistemic groups, this practice paper presents a three-step decolonial approach for understanding the role and impact of epistemic injustices in global health research funding. It starts with an understanding of how power operates in setting the aim of a call for research proposals. Then, the influence of pose and gaze in the review process is analysed to highlight the presence of epistemological colonisation before discussing methods to address the current funding asymmetries by supporting new ways of being and doing focused on knowledge plurality. Expanding research on how epistemic wrongs manifest in global health funding practices will generate key insights needed to address underlying drivers of inequities within global health project conception and delivery.","container-title":"BMJ Global Health","DOI":"10.1136/bmjgh-2022-008950","ISSN":"2059-7908","issue":"4","language":"en","license":"© Author(s) (or their employer(s)) 2022. Re-use permitted under CC BY-NC. No commercial re-use. See rights and permissions. Published by BMJ.. http://creativecommons.org/licenses/by-nc/4.0/This is an open access article distributed in accordance with the Creative Commons Attribution Non Commercial (CC BY-NC 4.0) license, which permits others to distribute, remix, adapt, build upon this work non-commercially, and license their derivative works on different terms, provided the original work is properly cited, appropriate credit is given, any changes made indicated, and the use is non-commercial. See: http://creativecommons.org/licenses/by-nc/4.0/.","note":"publisher: BMJ Specialist Journals\nsection: Practice\nPMID: 35470130","page":"e008950","source":"gh.bmj.com","title":"How to identify epistemic injustice in global health research funding practices: a decolonial guide","title-short":"How to identify epistemic injustice in global health research funding practices","volume":"7","author":[{"family":"Besson","given":"Emilie S. Koum"}],"issued":{"date-parts":[["2022",4,1]]}}}],"schema":"https://github.com/citation-style-language/schema/raw/master/csl-citation.json"} </w:instrText>
      </w:r>
      <w:r>
        <w:rPr>
          <w:rFonts w:ascii="Arial" w:hAnsi="Arial" w:cs="Arial"/>
          <w:sz w:val="24"/>
          <w:szCs w:val="24"/>
        </w:rPr>
        <w:fldChar w:fldCharType="separate"/>
      </w:r>
      <w:r>
        <w:rPr>
          <w:rFonts w:ascii="Arial" w:hAnsi="Arial" w:cs="Arial"/>
          <w:sz w:val="24"/>
          <w:szCs w:val="24"/>
        </w:rPr>
        <w:t>(Besson, 2022)</w:t>
      </w:r>
      <w:r>
        <w:rPr>
          <w:rFonts w:ascii="Arial" w:hAnsi="Arial" w:cs="Arial"/>
          <w:sz w:val="24"/>
          <w:szCs w:val="24"/>
        </w:rPr>
        <w:fldChar w:fldCharType="end"/>
      </w:r>
      <w:r>
        <w:rPr>
          <w:rFonts w:ascii="Arial" w:hAnsi="Arial" w:cs="Arial"/>
          <w:sz w:val="24"/>
          <w:szCs w:val="24"/>
        </w:rPr>
        <w:t xml:space="preserve">. ¿Cómo podemos superar estos desafíos garantizando la calidad técnica y la utilidad social de los conocimientos producidos en el marco de nuestras investigaciones? El desarrollo de </w:t>
      </w:r>
      <w:r>
        <w:rPr>
          <w:rFonts w:ascii="Arial" w:hAnsi="Arial" w:cs="Arial"/>
          <w:i/>
          <w:iCs/>
          <w:sz w:val="24"/>
          <w:szCs w:val="24"/>
        </w:rPr>
        <w:t xml:space="preserve">comunidades </w:t>
      </w:r>
      <w:r>
        <w:rPr>
          <w:rFonts w:ascii="Arial" w:hAnsi="Arial" w:cs="Arial"/>
          <w:i/>
          <w:iCs/>
          <w:sz w:val="24"/>
          <w:szCs w:val="24"/>
        </w:rPr>
        <w:lastRenderedPageBreak/>
        <w:t>epistémicas</w:t>
      </w:r>
      <w:r>
        <w:rPr>
          <w:rFonts w:ascii="Arial" w:hAnsi="Arial" w:cs="Arial"/>
          <w:sz w:val="24"/>
          <w:szCs w:val="24"/>
        </w:rPr>
        <w:t xml:space="preserve"> permitiría la alineación razonable entre una visión panorámica de las teorías científicas y la observación </w:t>
      </w:r>
      <w:r>
        <w:rPr>
          <w:rFonts w:ascii="Arial" w:hAnsi="Arial" w:cs="Arial"/>
          <w:i/>
          <w:iCs/>
          <w:sz w:val="24"/>
          <w:szCs w:val="24"/>
        </w:rPr>
        <w:t>in situ</w:t>
      </w:r>
      <w:r>
        <w:rPr>
          <w:rFonts w:ascii="Arial" w:hAnsi="Arial" w:cs="Arial"/>
          <w:sz w:val="24"/>
          <w:szCs w:val="24"/>
        </w:rPr>
        <w:t xml:space="preserve"> de las prácticas locales en Salud Global.</w:t>
      </w:r>
    </w:p>
    <w:p w14:paraId="490D6DAF" w14:textId="77777777" w:rsidR="0093626A" w:rsidRDefault="0093626A" w:rsidP="005915A7">
      <w:pPr>
        <w:shd w:val="clear" w:color="auto" w:fill="FFFFFF" w:themeFill="background1"/>
        <w:spacing w:after="0" w:line="360" w:lineRule="auto"/>
        <w:jc w:val="both"/>
        <w:rPr>
          <w:rFonts w:ascii="Arial" w:hAnsi="Arial" w:cs="Arial"/>
          <w:sz w:val="24"/>
          <w:szCs w:val="24"/>
        </w:rPr>
      </w:pPr>
    </w:p>
    <w:p w14:paraId="2335B555" w14:textId="77777777" w:rsidR="0093626A" w:rsidRDefault="00000000" w:rsidP="00634580">
      <w:pPr>
        <w:shd w:val="clear" w:color="auto" w:fill="FFFFFF" w:themeFill="background1"/>
        <w:spacing w:after="0" w:line="360" w:lineRule="auto"/>
        <w:ind w:firstLine="708"/>
        <w:jc w:val="both"/>
        <w:rPr>
          <w:rFonts w:ascii="Arial" w:hAnsi="Arial" w:cs="Arial"/>
          <w:sz w:val="24"/>
          <w:szCs w:val="24"/>
        </w:rPr>
      </w:pPr>
      <w:r>
        <w:rPr>
          <w:rFonts w:ascii="Arial" w:hAnsi="Arial" w:cs="Arial"/>
          <w:sz w:val="24"/>
          <w:szCs w:val="24"/>
        </w:rPr>
        <w:t xml:space="preserve">Las comunidades epistémicas facilitan la gestión del conocimiento a través del trabajo colaborativo desempeñado en el seno de las redes de investigación internacionales </w:t>
      </w:r>
      <w:r>
        <w:rPr>
          <w:rFonts w:ascii="Arial" w:hAnsi="Arial" w:cs="Arial"/>
          <w:sz w:val="24"/>
          <w:szCs w:val="24"/>
        </w:rPr>
        <w:fldChar w:fldCharType="begin"/>
      </w:r>
      <w:r>
        <w:rPr>
          <w:rFonts w:ascii="Arial" w:hAnsi="Arial" w:cs="Arial"/>
          <w:sz w:val="24"/>
          <w:szCs w:val="24"/>
        </w:rPr>
        <w:instrText xml:space="preserve"> ADDIN ZOTERO_ITEM CSL_CITATION {"citationID":"ekQgZMnO","properties":{"formattedCitation":"(Haas, 2008; Miller &amp; Fox, 2001)","plainCitation":"(Haas, 2008; Miller &amp; Fox, 2001)","noteIndex":0},"citationItems":[{"id":22317,"uris":["http://zotero.org/users/2351503/items/Z3U3979L"],"itemData":{"id":22317,"type":"chapter","container-title":"The Oxford Handbook of International Environmental Law","ISBN":"978-0-19-955215-3","note":"DOI: 10.1093/oxfordhb/9780199552153.013.0034","page":"0","publisher":"Oxford University Press","source":"Silverchair","title":"Epistemic Communities","URL":"https://doi.org/10.1093/oxfordhb/9780199552153.013.0034","author":[{"family":"Haas","given":"Peter"}],"editor":[{"family":"Bodansky","given":"Daniel"},{"family":"Brunnée","given":"Jutta"},{"family":"Hey","given":"Ellen"}],"accessed":{"date-parts":[["2023",6,18]]},"issued":{"date-parts":[["2008",8,7]]}}},{"id":22366,"uris":["http://zotero.org/users/2351503/items/7V6PCYXQ"],"itemData":{"id":22366,"type":"article-journal","abstract":"Early epistemology assumed that the observer (a) was independent of and distinct from the object being observed and (b) could validate objective reality in a language system called the laws of science. The authors offer something different. In arguing that knowledge is responsive to the culture in which it is embedded, they take a perspectival approach, gathering localized intentionality, context, social practices, and linguistic meaning (called ground) into the project of inquiry (called figure). Knowledge building, in other words, depends on the background and interests of the epistemic community that is generating knowledge.","container-title":"Administration &amp; Society","DOI":"10.1177/00953990122019613","ISSN":"0095-3997","issue":"6","language":"en","note":"publisher: SAGE Publications Inc","page":"668-685","source":"SAGE Journals","title":"The Epistemic Community","volume":"32","author":[{"family":"Miller","given":"Hugh T."},{"family":"Fox","given":"Charles J."}],"issued":{"date-parts":[["2001",1,1]]}}}],"schema":"https://github.com/citation-style-language/schema/raw/master/csl-citation.json"} </w:instrText>
      </w:r>
      <w:r>
        <w:rPr>
          <w:rFonts w:ascii="Arial" w:hAnsi="Arial" w:cs="Arial"/>
          <w:sz w:val="24"/>
          <w:szCs w:val="24"/>
        </w:rPr>
        <w:fldChar w:fldCharType="separate"/>
      </w:r>
      <w:r>
        <w:rPr>
          <w:rFonts w:ascii="Arial" w:hAnsi="Arial" w:cs="Arial"/>
          <w:sz w:val="24"/>
          <w:szCs w:val="24"/>
        </w:rPr>
        <w:t>(Haas, 2008; Miller &amp; Fox, 2001)</w:t>
      </w:r>
      <w:r>
        <w:rPr>
          <w:rFonts w:ascii="Arial" w:hAnsi="Arial" w:cs="Arial"/>
          <w:sz w:val="24"/>
          <w:szCs w:val="24"/>
        </w:rPr>
        <w:fldChar w:fldCharType="end"/>
      </w:r>
      <w:r>
        <w:rPr>
          <w:rFonts w:ascii="Arial" w:hAnsi="Arial" w:cs="Arial"/>
          <w:sz w:val="24"/>
          <w:szCs w:val="24"/>
        </w:rPr>
        <w:t xml:space="preserve">. Estas estructuras están formadas por un grupo de actores locales que comparten ciertos principios, aprenden mutuamente unos de otros y se estructuran como estrategias colaborativas que combinan investigación, aprendizaje e innovación. Además de ser ampliamente reconocidas en el campo del desarrollo profesional de los individuos, estas comunidades ofrecen el contexto organizacional ideal para una producción y transferencia de conocimiento más flexible, </w:t>
      </w:r>
      <w:r>
        <w:rPr>
          <w:rFonts w:ascii="Arial" w:hAnsi="Arial" w:cs="Arial"/>
          <w:sz w:val="24"/>
          <w:szCs w:val="24"/>
          <w:shd w:val="clear" w:color="auto" w:fill="FFFFFF" w:themeFill="background1"/>
        </w:rPr>
        <w:t xml:space="preserve">contribuyendo a la comprensión y solución de problemas complejos. Inspiradas en fundamentos epistemológicos análogos a los de las </w:t>
      </w:r>
      <w:r>
        <w:rPr>
          <w:rFonts w:ascii="Arial" w:hAnsi="Arial" w:cs="Arial"/>
          <w:i/>
          <w:iCs/>
          <w:sz w:val="24"/>
          <w:szCs w:val="24"/>
          <w:shd w:val="clear" w:color="auto" w:fill="FFFFFF" w:themeFill="background1"/>
        </w:rPr>
        <w:t>comunidades de práctica</w:t>
      </w:r>
      <w:r>
        <w:rPr>
          <w:rFonts w:ascii="Arial" w:hAnsi="Arial" w:cs="Arial"/>
          <w:sz w:val="24"/>
          <w:szCs w:val="24"/>
          <w:shd w:val="clear" w:color="auto" w:fill="FFFFFF" w:themeFill="background1"/>
        </w:rPr>
        <w:t xml:space="preserve"> </w:t>
      </w:r>
      <w:r>
        <w:rPr>
          <w:rFonts w:ascii="Arial" w:hAnsi="Arial" w:cs="Arial"/>
          <w:sz w:val="24"/>
          <w:szCs w:val="24"/>
          <w:shd w:val="clear" w:color="auto" w:fill="FFFFFF" w:themeFill="background1"/>
        </w:rPr>
        <w:fldChar w:fldCharType="begin"/>
      </w:r>
      <w:r>
        <w:rPr>
          <w:rFonts w:ascii="Arial" w:hAnsi="Arial" w:cs="Arial"/>
          <w:sz w:val="24"/>
          <w:szCs w:val="24"/>
          <w:shd w:val="clear" w:color="auto" w:fill="FFFFFF" w:themeFill="background1"/>
        </w:rPr>
        <w:instrText xml:space="preserve"> ADDIN ZOTERO_ITEM CSL_CITATION {"citationID":"TpNk7moT","properties":{"formattedCitation":"(Lave &amp; Wenger, 1991; Wenger, 1998)","plainCitation":"(Lave &amp; Wenger, 1991; Wenger, 1998)","noteIndex":0},"citationItems":[{"id":3425,"uris":["http://zotero.org/users/2351503/items/R3VRGFND"],"itemData":{"id":3425,"type":"book","abstract":"In this important theoretical treatise, Jean Lave, anthropologist, and Etienne Wenger, computer scientist, push forward the notion of situated learning--that learning is fundamentally a social process and not solely in the learner's head. The authors maintain that learning viewed as situated activity has as its central defining characteristic a process they call legitimate peripheral participation. Learners participate in communities of practitioners, moving toward full participation in the sociocultural practices of a community. Legitimate peripheral participation provides a way to speak about crucial relations between newcomers and oldtimers and about their activities, identities, artifacts, knowledge and practice. The communities discussed in the book are midwives, tailors, quartermasters, butchers, and recovering alcoholics, however, the process by which participants in those communities learn can be generalized to other social groups.","ISBN":"978-0-521-42374-8","language":"en","note":"Google-Books-ID: CAVIOrW3vYAC","number-of-pages":"144","publisher":"Cambridge University Press","source":"Google Books","title":"Situated Learning: Legitimate Peripheral Participation","title-short":"Situated Learning","author":[{"family":"Lave","given":"Jean"},{"family":"Wenger","given":"Etienne"}],"issued":{"date-parts":[["1991",9,27]]}}},{"id":4121,"uris":["http://zotero.org/users/2351503/items/IJ45VCDI"],"itemData":{"id":4121,"type":"book","abstract":"Presents a broad conceptual framework for thinking about learning as a process of social participation.","ISBN":"978-0-521-66363-2","language":"en","note":"Google-Books-ID: heBZpgYUKdAC","number-of-pages":"340","publisher":"Cambridge University Press","source":"Google Books","title":"Communities of Practice: Learning, Meaning, and Identity","title-short":"Communities of Practice","author":[{"family":"Wenger","given":"Etienne"}],"issued":{"date-parts":[["1998"]]}}}],"schema":"https://github.com/citation-style-language/schema/raw/master/csl-citation.json"} </w:instrText>
      </w:r>
      <w:r>
        <w:rPr>
          <w:rFonts w:ascii="Arial" w:hAnsi="Arial" w:cs="Arial"/>
          <w:sz w:val="24"/>
          <w:szCs w:val="24"/>
          <w:shd w:val="clear" w:color="auto" w:fill="FFFFFF" w:themeFill="background1"/>
        </w:rPr>
        <w:fldChar w:fldCharType="separate"/>
      </w:r>
      <w:r w:rsidRPr="00E124A8">
        <w:rPr>
          <w:rFonts w:ascii="Arial" w:hAnsi="Arial" w:cs="Arial"/>
          <w:sz w:val="24"/>
          <w:szCs w:val="24"/>
          <w:shd w:val="clear" w:color="auto" w:fill="FFFFFF" w:themeFill="background1"/>
        </w:rPr>
        <w:t>(Lave &amp; Wenger, 1991; Wenger, 1998)</w:t>
      </w:r>
      <w:r>
        <w:rPr>
          <w:rFonts w:ascii="Arial" w:hAnsi="Arial" w:cs="Arial"/>
          <w:sz w:val="24"/>
          <w:szCs w:val="24"/>
          <w:shd w:val="clear" w:color="auto" w:fill="FFFFFF" w:themeFill="background1"/>
        </w:rPr>
        <w:fldChar w:fldCharType="end"/>
      </w:r>
      <w:r>
        <w:rPr>
          <w:rFonts w:ascii="Arial" w:hAnsi="Arial" w:cs="Arial"/>
          <w:sz w:val="24"/>
          <w:szCs w:val="24"/>
          <w:shd w:val="clear" w:color="auto" w:fill="FFFFFF" w:themeFill="background1"/>
        </w:rPr>
        <w:t xml:space="preserve">, las comunidades epistémicas se </w:t>
      </w:r>
      <w:r>
        <w:rPr>
          <w:rFonts w:ascii="Arial" w:hAnsi="Arial" w:cs="Arial"/>
          <w:sz w:val="24"/>
          <w:szCs w:val="24"/>
        </w:rPr>
        <w:t xml:space="preserve">erigen </w:t>
      </w:r>
      <w:r>
        <w:rPr>
          <w:rFonts w:ascii="Arial" w:hAnsi="Arial" w:cs="Arial"/>
          <w:sz w:val="24"/>
          <w:szCs w:val="24"/>
          <w:shd w:val="clear" w:color="auto" w:fill="FFFFFF" w:themeFill="background1"/>
        </w:rPr>
        <w:t>como un mecanismo dinámico con la capacidad de optimizar la práctica investigativa mediante la construcción de relaciones de confianza</w:t>
      </w:r>
      <w:r>
        <w:rPr>
          <w:rFonts w:ascii="Arial" w:hAnsi="Arial" w:cs="Arial"/>
          <w:sz w:val="24"/>
          <w:szCs w:val="24"/>
        </w:rPr>
        <w:t xml:space="preserve">. A través de este proceso, fomentan un sentido de pertenencia y compromiso recíproco con sus prácticas diarias </w:t>
      </w:r>
      <w:r>
        <w:rPr>
          <w:rFonts w:ascii="Arial" w:hAnsi="Arial" w:cs="Arial"/>
          <w:sz w:val="24"/>
          <w:szCs w:val="24"/>
        </w:rPr>
        <w:fldChar w:fldCharType="begin"/>
      </w:r>
      <w:r>
        <w:rPr>
          <w:rFonts w:ascii="Arial" w:hAnsi="Arial" w:cs="Arial"/>
          <w:sz w:val="24"/>
          <w:szCs w:val="24"/>
        </w:rPr>
        <w:instrText xml:space="preserve"> ADDIN ZOTERO_ITEM CSL_CITATION {"citationID":"tpyJj2rC","properties":{"formattedCitation":"(Bhakuni &amp; Abimbola, 2021; Pratt, 2021)","plainCitation":"(Bhakuni &amp; Abimbola, 2021; Pratt, 2021)","noteIndex":0},"citationItems":[{"id":22336,"uris":["http://zotero.org/users/2351503/items/4JHRIMIF"],"itemData":{"id":22336,"type":"article-journal","abstract":"This Viewpoint calls attention to the pervasive wrongs related to knowledge production, use, and circulation in global health, many of which are taken for granted. We argue that common practices in academic global health (eg, authorship practices, research partnerships, academic writing, editorial practices, sensemaking practices, and the choice of audience or research framing, questions, and methods) are peppered with epistemic wrongs that lead to or exacerbate epistemic injustice. We describe two forms of epistemic wrongs, credibility deficit and interpretive marginalisation, which stem from structural exclusion of marginalised producers and recipients of knowledge. We then illustrate these forms of epistemic wrongs using examples of common practices in academic global health, and show how these wrongs are linked to the pose (or positionality) and the gaze (or audience) of producers of knowledge. The epistemic injustice framework shown in this Viewpoint can help to surface, detect, communicate, make sense of, avoid, and potentially undo unfair knowledge practices in global health that are inflicted upon people in their capacity as knowers, and as producers and recipients of knowledge, owing to structural prejudices in the processes involved in knowledge production, use, and circulation in global health.","container-title":"The Lancet Global Health","DOI":"10.1016/S2214-109X(21)00301-6","ISSN":"2214-109X","issue":"10","journalAbbreviation":"The Lancet Global Health","language":"en","page":"e1465-e1470","source":"ScienceDirect","title":"Epistemic injustice in academic global health","volume":"9","author":[{"family":"Bhakuni","given":"Himani"},{"family":"Abimbola","given":"Seye"}],"issued":{"date-parts":[["2021",10,1]]}}},{"id":22415,"uris":["http://zotero.org/users/2351503/items/YKB3L6KH"],"itemData":{"id":22415,"type":"article-journal","abstract":"To promote social justice and equity, global health research should meaningfully engage communities throughout projects: from setting agendas onwards. But communities, especially those that are considered disadvantaged or marginalised, rarely have a say in the priorities of the research projects that aim to help them. So far, there remains limited ethical guidance and resources on how to share power with communities in health research priority-setting. This paper presents an “ethical toolkit” for academic researchers and their community partners to use to design priority-setting processes that meaningfully include the communities impacted by their projects. An empirical reflective equilibrium approach was employed to develop the toolkit. Conceptual work articulated ethical considerations related to sharing power in g0l0o0bal health research priority-setting, developed guidance on how to address them, and created an initial version of the toolkit. Empirical work (51 in-depth interviews, 1 focus group, 2 case studies in India and the Philippines) conducted in 2018 and 2019 then tested those findings against information from global health research practice. The final ethical toolkit is a reflective project planning aid. It consists of 4 worksheets (Worksheet 1- Selecting Partners; Worksheet 2- Deciding to Partner; Worksheet 3- Deciding to Engage with the Wider Community; Worksheet 4- Designing Priority-setting) and a Companion Document detailing how to use them. Reflecting on and discussing the questions in Worksheets 1 to 4 before priority-setting will help deliver priority-setting processes that share power with communities and projects with research topics and questions that more accurately reflect their healthcare and system needs.","container-title":"International Journal for Equity in Health","DOI":"10.1186/s12939-021-01453-y","ISSN":"1475-9276","issue":"1","journalAbbreviation":"International Journal for Equity in Health","page":"127","source":"BioMed Central","title":"Sharing power in global health research: an ethical toolkit for designing priority-setting processes that meaningfully include communities","title-short":"Sharing power in global health research","volume":"20","author":[{"family":"Pratt","given":"Bridget"}],"issued":{"date-parts":[["2021",5,25]]}}}],"schema":"https://github.com/citation-style-language/schema/raw/master/csl-citation.json"} </w:instrText>
      </w:r>
      <w:r>
        <w:rPr>
          <w:rFonts w:ascii="Arial" w:hAnsi="Arial" w:cs="Arial"/>
          <w:sz w:val="24"/>
          <w:szCs w:val="24"/>
        </w:rPr>
        <w:fldChar w:fldCharType="separate"/>
      </w:r>
      <w:r>
        <w:rPr>
          <w:rFonts w:ascii="Arial" w:hAnsi="Arial" w:cs="Arial"/>
          <w:sz w:val="24"/>
          <w:szCs w:val="24"/>
        </w:rPr>
        <w:t>(Bhakuni &amp; Abimbola, 2021; Pratt, 2021)</w:t>
      </w:r>
      <w:r>
        <w:rPr>
          <w:rFonts w:ascii="Arial" w:hAnsi="Arial" w:cs="Arial"/>
          <w:sz w:val="24"/>
          <w:szCs w:val="24"/>
        </w:rPr>
        <w:fldChar w:fldCharType="end"/>
      </w:r>
      <w:r>
        <w:rPr>
          <w:rFonts w:ascii="Arial" w:hAnsi="Arial" w:cs="Arial"/>
          <w:sz w:val="24"/>
          <w:szCs w:val="24"/>
        </w:rPr>
        <w:t>.</w:t>
      </w:r>
    </w:p>
    <w:p w14:paraId="5E7A40CA" w14:textId="77777777" w:rsidR="0093626A" w:rsidRDefault="0093626A" w:rsidP="00634580">
      <w:pPr>
        <w:spacing w:after="0" w:line="360" w:lineRule="auto"/>
        <w:ind w:firstLine="708"/>
        <w:jc w:val="both"/>
        <w:rPr>
          <w:rFonts w:ascii="Arial" w:hAnsi="Arial" w:cs="Arial"/>
          <w:sz w:val="24"/>
          <w:szCs w:val="24"/>
        </w:rPr>
      </w:pPr>
    </w:p>
    <w:p w14:paraId="13146718" w14:textId="77777777" w:rsidR="0093626A" w:rsidRDefault="00000000" w:rsidP="00634580">
      <w:pPr>
        <w:spacing w:after="0" w:line="360" w:lineRule="auto"/>
        <w:ind w:firstLine="708"/>
        <w:jc w:val="both"/>
        <w:rPr>
          <w:rFonts w:ascii="Arial" w:hAnsi="Arial" w:cs="Arial"/>
          <w:sz w:val="24"/>
          <w:szCs w:val="24"/>
        </w:rPr>
      </w:pPr>
      <w:r>
        <w:rPr>
          <w:rFonts w:ascii="Arial" w:hAnsi="Arial" w:cs="Arial"/>
          <w:sz w:val="24"/>
          <w:szCs w:val="24"/>
        </w:rPr>
        <w:t xml:space="preserve">Aquí, la noción de práctica implica, en sus dimensiones tanto global (componente universalista) como local (componente culturalista), la participación de los actores involucrados en el proceso de producción de conocimiento, y su capacidad para estructurar y dar sentido a las acciones colectivas en el campo de la Salud Global </w:t>
      </w:r>
      <w:r>
        <w:rPr>
          <w:rFonts w:ascii="Arial" w:hAnsi="Arial" w:cs="Arial"/>
          <w:sz w:val="24"/>
          <w:szCs w:val="24"/>
        </w:rPr>
        <w:fldChar w:fldCharType="begin"/>
      </w:r>
      <w:r>
        <w:rPr>
          <w:rFonts w:ascii="Arial" w:hAnsi="Arial" w:cs="Arial"/>
          <w:sz w:val="24"/>
          <w:szCs w:val="24"/>
        </w:rPr>
        <w:instrText xml:space="preserve"> ADDIN ZOTERO_ITEM CSL_CITATION {"citationID":"xYSRM1JP","properties":{"formattedCitation":"(Amin &amp; Roberts, 2008; Miller &amp; Fox, 2001; Suarez-Herrera &amp; Blain, 2012)","plainCitation":"(Amin &amp; Roberts, 2008; Miller &amp; Fox, 2001; Suarez-Herrera &amp; Blain, 2012)","noteIndex":0},"citationItems":[{"id":2581,"uris":["http://zotero.org/users/2351503/items/6M6FMGAZ"],"itemData":{"id":2581,"type":"article-journal","abstract":"This paper engages with the recent turn in the social sciences towards communities of practice as a driver of learning and knowledge generation across a variety of different working environments. While agreeing with the broad reinstatement of situated social practice in thinking on the dynamics of knowledge capitalism, the paper takes issue with the increasingly homogeneous and instrumentalist use of the term communities of practice to encapsulate ‘knowing in action’. On the basis of an extensive review of the available literature, the paper argues for the importance of differentiating between different varieties of knowing in action. The paper notes the differences – in organisation, spatial dynamics, innovation outcomes, and knowledge processes – between four modes: craft or task-based knowing; epistemic or high creativity knowing; professional knowing; and virtual knowing. The proposed typology is used to illustrate the insight gained from such analytical precision, through a discussion of the spatial configuration of knowing in action, long assumed to require spatial proximity. It is shown that spatial and relational proximity – which can be struck at a distance – should not be treated as one and the same.","container-title":"Research Policy","DOI":"10.1016/j.respol.2007.11.003","ISSN":"0048-7333","issue":"2","journalAbbreviation":"Research Policy","page":"353-369","source":"ScienceDirect","title":"Knowing in action: Beyond communities of practice","title-short":"Knowing in action","volume":"37","author":[{"family":"Amin","given":"Ash"},{"family":"Roberts","given":"Joanne"}],"issued":{"date-parts":[["2008",3,1]]}}},{"id":22366,"uris":["http://zotero.org/users/2351503/items/7V6PCYXQ"],"itemData":{"id":22366,"type":"article-journal","abstract":"Early epistemology assumed that the observer (a) was independent of and distinct from the object being observed and (b) could validate objective reality in a language system called the laws of science. The authors offer something different. In arguing that knowledge is responsive to the culture in which it is embedded, they take a perspectival approach, gathering localized intentionality, context, social practices, and linguistic meaning (called ground) into the project of inquiry (called figure). Knowledge building, in other words, depends on the background and interests of the epistemic community that is generating knowledge.","container-title":"Administration &amp; Society","DOI":"10.1177/00953990122019613","ISSN":"0095-3997","issue":"6","language":"en","note":"publisher: SAGE Publications Inc","page":"668-685","source":"SAGE Journals","title":"The Epistemic Community","volume":"32","author":[{"family":"Miller","given":"Hugh T."},{"family":"Fox","given":"Charles J."}],"issued":{"date-parts":[["2001",1,1]]}}},{"id":6699,"uris":["http://zotero.org/users/2351503/items/PPALZKIA"],"itemData":{"id":6699,"type":"book","collection-number":"114","event-place":"Montréal (Québec, Canada)","number-of-pages":"276","publisher":"Cahiers scientifiques de l'ACFAS","publisher-place":"Montréal (Québec, Canada)","title":"La recherche en santé mondiale : perspectives socio-anthropologiques","author":[{"family":"Suarez-Herrera","given":"José Carlos"},{"family":"Blain","given":"Marie-Jeanne"}],"issued":{"date-parts":[["2012"]]}}}],"schema":"https://github.com/citation-style-language/schema/raw/master/csl-citation.json"} </w:instrText>
      </w:r>
      <w:r>
        <w:rPr>
          <w:rFonts w:ascii="Arial" w:hAnsi="Arial" w:cs="Arial"/>
          <w:sz w:val="24"/>
          <w:szCs w:val="24"/>
        </w:rPr>
        <w:fldChar w:fldCharType="separate"/>
      </w:r>
      <w:r>
        <w:rPr>
          <w:rFonts w:ascii="Arial" w:hAnsi="Arial" w:cs="Arial"/>
          <w:sz w:val="24"/>
          <w:szCs w:val="24"/>
        </w:rPr>
        <w:t>(Amin &amp; Roberts, 2008; Miller &amp; Fox, 2001; Suarez-Herrera &amp; Blain, 2012)</w:t>
      </w:r>
      <w:r>
        <w:rPr>
          <w:rFonts w:ascii="Arial" w:hAnsi="Arial" w:cs="Arial"/>
          <w:sz w:val="24"/>
          <w:szCs w:val="24"/>
        </w:rPr>
        <w:fldChar w:fldCharType="end"/>
      </w:r>
      <w:r>
        <w:rPr>
          <w:rFonts w:ascii="Arial" w:hAnsi="Arial" w:cs="Arial"/>
          <w:sz w:val="24"/>
          <w:szCs w:val="24"/>
        </w:rPr>
        <w:t xml:space="preserve">. Esto resolverá, en gran medida, la falta de consenso existente </w:t>
      </w:r>
      <w:r>
        <w:rPr>
          <w:rFonts w:ascii="Arial" w:hAnsi="Arial" w:cs="Arial"/>
          <w:i/>
          <w:sz w:val="24"/>
          <w:szCs w:val="24"/>
        </w:rPr>
        <w:t xml:space="preserve">a priori </w:t>
      </w:r>
      <w:r>
        <w:rPr>
          <w:rFonts w:ascii="Arial" w:hAnsi="Arial" w:cs="Arial"/>
          <w:sz w:val="24"/>
          <w:szCs w:val="24"/>
        </w:rPr>
        <w:t xml:space="preserve">entre los diferentes grupos locales sobre el significado de conceptos y términos esenciales para la salud pública. La atribución de sentido a las experiencias personales y a las acciones locales es un proceso centrado en la </w:t>
      </w:r>
      <w:r>
        <w:rPr>
          <w:rFonts w:ascii="Arial" w:hAnsi="Arial" w:cs="Arial"/>
          <w:i/>
          <w:sz w:val="24"/>
          <w:szCs w:val="24"/>
        </w:rPr>
        <w:t xml:space="preserve">negociación de significados </w:t>
      </w:r>
      <w:r>
        <w:rPr>
          <w:rFonts w:ascii="Arial" w:hAnsi="Arial" w:cs="Arial"/>
          <w:i/>
          <w:sz w:val="24"/>
          <w:szCs w:val="24"/>
        </w:rPr>
        <w:fldChar w:fldCharType="begin"/>
      </w:r>
      <w:r>
        <w:rPr>
          <w:rFonts w:ascii="Arial" w:hAnsi="Arial" w:cs="Arial"/>
          <w:i/>
          <w:sz w:val="24"/>
          <w:szCs w:val="24"/>
        </w:rPr>
        <w:instrText xml:space="preserve"> ADDIN ZOTERO_ITEM CSL_CITATION {"citationID":"v7V3q9wI","properties":{"formattedCitation":"(Dalglish et al., 2015; Wenger, 2011)","plainCitation":"(Dalglish et al., 2015; Wenger, 2011)","noteIndex":0},"citationItems":[{"id":22334,"uris":["http://zotero.org/users/2351503/items/XH8HK66Z"],"itemData":{"id":22334,"type":"article-journal","abstract":"Nearly all African countries have recently implemented some form of integrated community case management of childhood illness (iCCM), a strategy aimed at reducing child mortality by providing curative care for common yet fatal childhood illnesses. This case study describes the evolution of iCCM at the global level using the theory of epistemic communities first outlined by Haas, which explains how international policy coordination on technical issues takes place via transnational expert networks. We draw from in-depth interviews with global policy-makers (n = 25), a document review (n = 72) and co-authorship network analysis of scientific articles on iCCM. We find that members of the iCCM epistemic community were mainly mid- to upper-level technical officers working in the headquarters of large norm-setting bodies, implementing partners, funders and academic/research groups in global health. Already linked by pre-existing relationships, the epistemic community was consolidated as conflicts were overcome through structural changes in the network (including or excluding some members), changes in the state of technology or scientific evidence, shifting funding considerations, and the development of consensus through argument, legitimation and other means. Next, the epistemic community positioned iCCM as a preferred solution via three causal dynamics outlined by Haas: (1) responding to decision-makers’ uncertainty about how to reduce child mortality after previous policies proved insufficient, (2) using sophisticated analytic tools to link the problem of child mortality to iCCM as a solution and (3) gaining buy-in from major norm-setting bodies and financial and institutional support from large implementing agencies. Applying the epistemic communities framework to the iCCM case study reveals the strengths and weaknesses of a focused policy enterprise with highly specialized and homogenous disciplinary origins, allowing for efficient sharing of complex, high-level scientific information, but possibly excluding voices with relevant methodological, operational or country-level perspectives.","container-title":"Health Policy and Planning","DOI":"10.1093/heapol/czv043","ISSN":"0268-1080","issue":"suppl_2","journalAbbreviation":"Health Policy and Planning","page":"ii12-ii25","source":"Silverchair","title":"Epistemic communities in global health and the development of child survival policy: a case study of iCCM","title-short":"Epistemic communities in global health and the development of child survival policy","volume":"30","author":[{"family":"Dalglish","given":"Sarah L"},{"family":"George","given":"Asha"},{"family":"Shearer","given":"Jessica C"},{"family":"Bennett","given":"Sara"}],"issued":{"date-parts":[["2015",10,1]]}}},{"id":8546,"uris":["http://zotero.org/users/2351503/items/39PGABJA"],"itemData":{"id":8546,"type":"article-journal","abstract":"The term \"community of practice\" is of relatively recent coinage, even though the phenomenon it refers to is age-old. The concept has turned out to provide a useful perspective on knowing and learning. A growing number of people and organizations in various sectors are now focusing on communities of practice as a key to improving their performance. \nThis brief and general introduction examines what communities of practice are and why researchers and practitioners in so many different contexts find them useful as an approach to knowing and learning.","language":"en_US","source":"scholarsbank.uoregon.edu","title":"Communities of practice: A brief introduction","title-short":"Communities of practice","URL":"http://scholarsbank.uoregon.edu/xmlui/handle/1794/11736","author":[{"family":"Wenger","given":"Etienne"}],"accessed":{"date-parts":[["2017",8,30]]},"issued":{"date-parts":[["2011",10]]}}}],"schema":"https://github.com/citation-style-language/schema/raw/master/csl-citation.json"} </w:instrText>
      </w:r>
      <w:r>
        <w:rPr>
          <w:rFonts w:ascii="Arial" w:hAnsi="Arial" w:cs="Arial"/>
          <w:i/>
          <w:sz w:val="24"/>
          <w:szCs w:val="24"/>
        </w:rPr>
        <w:fldChar w:fldCharType="separate"/>
      </w:r>
      <w:r w:rsidRPr="00E124A8">
        <w:rPr>
          <w:rFonts w:ascii="Arial" w:hAnsi="Arial" w:cs="Arial"/>
          <w:sz w:val="24"/>
          <w:szCs w:val="24"/>
        </w:rPr>
        <w:t>(Dalglish et al., 2015; Wenger, 2011)</w:t>
      </w:r>
      <w:r>
        <w:rPr>
          <w:rFonts w:ascii="Arial" w:hAnsi="Arial" w:cs="Arial"/>
          <w:i/>
          <w:sz w:val="24"/>
          <w:szCs w:val="24"/>
        </w:rPr>
        <w:fldChar w:fldCharType="end"/>
      </w:r>
      <w:r>
        <w:rPr>
          <w:rFonts w:ascii="Arial" w:hAnsi="Arial" w:cs="Arial"/>
          <w:sz w:val="24"/>
          <w:szCs w:val="24"/>
        </w:rPr>
        <w:t>.</w:t>
      </w:r>
      <w:r>
        <w:rPr>
          <w:rFonts w:ascii="Arial" w:hAnsi="Arial" w:cs="Arial"/>
          <w:sz w:val="24"/>
          <w:szCs w:val="24"/>
          <w:shd w:val="clear" w:color="auto" w:fill="A8D08D" w:themeFill="accent6" w:themeFillTint="99"/>
        </w:rPr>
        <w:t xml:space="preserve"> </w:t>
      </w:r>
    </w:p>
    <w:p w14:paraId="10C3B1CE" w14:textId="77777777" w:rsidR="0093626A" w:rsidRDefault="0093626A" w:rsidP="005915A7">
      <w:pPr>
        <w:spacing w:after="0" w:line="360" w:lineRule="auto"/>
        <w:jc w:val="both"/>
        <w:rPr>
          <w:rFonts w:ascii="Arial" w:hAnsi="Arial" w:cs="Arial"/>
          <w:sz w:val="24"/>
          <w:szCs w:val="24"/>
        </w:rPr>
      </w:pPr>
    </w:p>
    <w:p w14:paraId="3E88D426" w14:textId="77777777" w:rsidR="0093626A" w:rsidRDefault="00000000" w:rsidP="00634580">
      <w:pPr>
        <w:spacing w:after="0" w:line="360" w:lineRule="auto"/>
        <w:ind w:firstLine="708"/>
        <w:jc w:val="both"/>
        <w:rPr>
          <w:rFonts w:ascii="Arial" w:hAnsi="Arial" w:cs="Arial"/>
          <w:sz w:val="24"/>
          <w:szCs w:val="24"/>
        </w:rPr>
      </w:pPr>
      <w:r>
        <w:rPr>
          <w:rFonts w:ascii="Arial" w:hAnsi="Arial" w:cs="Arial"/>
          <w:sz w:val="24"/>
          <w:szCs w:val="24"/>
        </w:rPr>
        <w:lastRenderedPageBreak/>
        <w:t xml:space="preserve">La sincronización de interpretaciones en el marco de un proyecto colaborativo se fundamenta en una dualidad esencial entre la participación de los actores involucrados en un proceso de generación local de conocimientos y su aportación a un proceso más amplio de producción de conceptos. Este último consiste en establecer puntos focales alrededor de los cuales se organiza la negociación de significados específicos </w:t>
      </w:r>
      <w:r>
        <w:rPr>
          <w:rFonts w:ascii="Arial" w:hAnsi="Arial" w:cs="Arial"/>
          <w:sz w:val="24"/>
          <w:szCs w:val="24"/>
        </w:rPr>
        <w:fldChar w:fldCharType="begin"/>
      </w:r>
      <w:r>
        <w:rPr>
          <w:rFonts w:ascii="Arial" w:hAnsi="Arial" w:cs="Arial"/>
          <w:sz w:val="24"/>
          <w:szCs w:val="24"/>
        </w:rPr>
        <w:instrText xml:space="preserve"> ADDIN ZOTERO_ITEM CSL_CITATION {"citationID":"lSM83XCO","properties":{"formattedCitation":"(Dunlop, 2012)","plainCitation":"(Dunlop, 2012)","noteIndex":0},"citationItems":[{"id":22313,"uris":["http://zotero.org/users/2351503/items/RYVPLDKN"],"itemData":{"id":22313,"type":"chapter","abstract":"Peter M. Haas formulated the epistemic communities framework as a means of exploring the influence of knowledge-based experts in international policy-making. Specifically, the approach was designed to address decision-making instances characterized by technical complexity and uncertainty. Control over the production of knowledge enables epistemic communities to articulate cause-and-effect relationships and so frame issues for collective debate and export their policy projects globally. Despite the framework being two decades old, there are still relatively few studies which explicitly test or develop the concept theoretically, thus making it difficult to assess what we have collectively and cumulatively learned about this topic. This chapter attempts to systematize key developments in the literature. The first section outlines the concept locating it in the politics of ideas literature. The second explores the state of the art in the empirical studies deploying the epistemic communities framework. The third section considers the theoretical challenges that researchers face when attempting to study epistemic communities. Discussion here proposes five possible causal pathways through which we can explain how epistemic communities help decision-makers learn. The chapter closes with a brief sketch of potential future research frontiers for scholars interested in the power of knowledge and epistemic communities in public policy.","ISBN":"978-0-415-78245-6","language":"en","note":"Accepted: 2012-12-20T14:31:52Z","publisher":"Routledge","source":"ore.exeter.ac.uk","title":"Epistemic Communities","URL":"https://ore.exeter.ac.uk/repository/handle/10036/4098","author":[{"family":"Dunlop","given":"Claire A."}],"accessed":{"date-parts":[["2023",6,18]]},"issued":{"date-parts":[["2012",11,20]]}}}],"schema":"https://github.com/citation-style-language/schema/raw/master/csl-citation.json"} </w:instrText>
      </w:r>
      <w:r>
        <w:rPr>
          <w:rFonts w:ascii="Arial" w:hAnsi="Arial" w:cs="Arial"/>
          <w:sz w:val="24"/>
          <w:szCs w:val="24"/>
        </w:rPr>
        <w:fldChar w:fldCharType="separate"/>
      </w:r>
      <w:r>
        <w:rPr>
          <w:rFonts w:ascii="Arial" w:hAnsi="Arial" w:cs="Arial"/>
          <w:sz w:val="24"/>
          <w:szCs w:val="24"/>
        </w:rPr>
        <w:t>(Dunlop, 2012)</w:t>
      </w:r>
      <w:r>
        <w:rPr>
          <w:rFonts w:ascii="Arial" w:hAnsi="Arial" w:cs="Arial"/>
          <w:sz w:val="24"/>
          <w:szCs w:val="24"/>
        </w:rPr>
        <w:fldChar w:fldCharType="end"/>
      </w:r>
      <w:r>
        <w:rPr>
          <w:rFonts w:ascii="Arial" w:hAnsi="Arial" w:cs="Arial"/>
          <w:sz w:val="24"/>
          <w:szCs w:val="24"/>
        </w:rPr>
        <w:t xml:space="preserve">. </w:t>
      </w:r>
    </w:p>
    <w:p w14:paraId="223F8502" w14:textId="77777777" w:rsidR="0093626A" w:rsidRDefault="0093626A" w:rsidP="005915A7">
      <w:pPr>
        <w:spacing w:after="0" w:line="360" w:lineRule="auto"/>
        <w:jc w:val="both"/>
        <w:rPr>
          <w:rFonts w:ascii="Arial" w:hAnsi="Arial" w:cs="Arial"/>
          <w:sz w:val="24"/>
          <w:szCs w:val="24"/>
        </w:rPr>
      </w:pPr>
    </w:p>
    <w:p w14:paraId="79DE50F9" w14:textId="77777777" w:rsidR="0093626A" w:rsidRDefault="00000000" w:rsidP="00634580">
      <w:pPr>
        <w:spacing w:after="0" w:line="360" w:lineRule="auto"/>
        <w:ind w:firstLine="708"/>
        <w:jc w:val="both"/>
        <w:rPr>
          <w:rFonts w:ascii="Arial" w:hAnsi="Arial" w:cs="Arial"/>
          <w:sz w:val="24"/>
          <w:szCs w:val="24"/>
        </w:rPr>
      </w:pPr>
      <w:r>
        <w:rPr>
          <w:rFonts w:ascii="Arial" w:hAnsi="Arial" w:cs="Arial"/>
          <w:sz w:val="24"/>
          <w:szCs w:val="24"/>
        </w:rPr>
        <w:t>Por un lado, la participación de los actores locales puede compensar las limitaciones inherentes a la generalización, en particular su aspecto relativamente objetivo y neutral, claramente independiente del contexto local. Por otro lado, la contribución de los actores locales a procesos más generales compensa la naturaleza efímera y contextual de la acción colectiva territorial.</w:t>
      </w:r>
    </w:p>
    <w:p w14:paraId="60D569F3" w14:textId="77777777" w:rsidR="0093626A" w:rsidRDefault="0093626A" w:rsidP="005915A7">
      <w:pPr>
        <w:spacing w:after="0" w:line="360" w:lineRule="auto"/>
        <w:jc w:val="both"/>
        <w:rPr>
          <w:rFonts w:ascii="Arial" w:hAnsi="Arial" w:cs="Arial"/>
          <w:sz w:val="24"/>
          <w:szCs w:val="24"/>
        </w:rPr>
      </w:pPr>
    </w:p>
    <w:p w14:paraId="764E751A" w14:textId="77777777" w:rsidR="0093626A" w:rsidRDefault="00000000" w:rsidP="00634580">
      <w:pPr>
        <w:spacing w:after="0" w:line="360" w:lineRule="auto"/>
        <w:ind w:firstLine="708"/>
        <w:jc w:val="both"/>
        <w:rPr>
          <w:rFonts w:ascii="Arial" w:hAnsi="Arial" w:cs="Arial"/>
          <w:sz w:val="24"/>
          <w:szCs w:val="24"/>
        </w:rPr>
      </w:pPr>
      <w:r>
        <w:rPr>
          <w:rFonts w:ascii="Arial" w:hAnsi="Arial" w:cs="Arial"/>
          <w:sz w:val="24"/>
          <w:szCs w:val="24"/>
        </w:rPr>
        <w:t xml:space="preserve">El hecho de que los actores locales que actúan en diferentes contextos discutan entre sí sus percepciones sobre sus prácticas y procedimientos, es en sí mismo un poderoso criterio de calidad, basado en la intersubjetividad. Este proceso de consulta permite a las partes interesadas responder más rápidamente y dar seguimiento a las recomendaciones de cada estudio. Estos últimos se comprenden y aceptan mejor a medida que emergen procesos de colaboración a través de los cuales las relaciones de poder se vuelven más simétricas </w:t>
      </w:r>
      <w:r>
        <w:rPr>
          <w:rFonts w:ascii="Arial" w:hAnsi="Arial" w:cs="Arial"/>
          <w:sz w:val="24"/>
          <w:szCs w:val="24"/>
        </w:rPr>
        <w:fldChar w:fldCharType="begin"/>
      </w:r>
      <w:r>
        <w:rPr>
          <w:rFonts w:ascii="Arial" w:hAnsi="Arial" w:cs="Arial"/>
          <w:sz w:val="24"/>
          <w:szCs w:val="24"/>
        </w:rPr>
        <w:instrText xml:space="preserve"> ADDIN ZOTERO_ITEM CSL_CITATION {"citationID":"HKsUh8T8","properties":{"formattedCitation":"(Hanefeld &amp; Walt, 2015; V\\uc0\\u228{}h\\uc0\\u228{}maa, 2013)","plainCitation":"(Hanefeld &amp; Walt, 2015; Vähämaa, 2013)","noteIndex":0},"citationItems":[{"id":2744,"uris":["http://zotero.org/users/2351503/items/B2WFJFUK"],"itemData":{"id":2744,"type":"article-journal","abstract":"Shiffman rightly raises questions about who exercises power in global health, suggesting power is a complex concept, and the way it is exercised is often opaque. Power that is not based on financial strength but on knowledge or experience, is difficult to estimate, and yet it may provide the legitimacy to make moral claims on what is, or ought to be, on global health agendas. Twenty years ago power was exercised in a much less complex health environment. The World Health Organization (WHO) was able to exert its authority as world health leader. The landscape today is very different. Financial resources for global health are being competed for by diverse organisations, and power is diffused and somewhat hidden in such a climate, where each organization has to establish and make its own moral claims loudly and publicly. We observe two ways which allow actors to capture moral authority in global health. One, through power based on scientific knowledge and two, through procedures in the policy process, most commonly associated with the notion of broad consultation and participation. We discuss these drawing on one particular framework provided by Bourdieu, who analyses the source of actor power by focusing on different sorts of capital. Different approaches or theories to understanding power will go some way to answering the challenge Shiffman throws to health policy analysts. We need to explore much more fully where power lies in global health, and how it is exercised in order to understand underlying health agendas and claims to legitimacy made by global health actors today.","container-title":"International Journal of Health Policy and Management","DOI":"10.15171/ijhpm.2015.25","ISSN":"2322-5939","issue":"2","journalAbbreviation":"Int J Health Policy Manag","note":"PMID: 25674577\nPMCID: PMC4322625","page":"119-121","source":"PubMed Central","title":"Knowledge and networks – key sources of power in global health","volume":"4","author":[{"family":"Hanefeld","given":"Johanna"},{"family":"Walt","given":"Gill"}],"issued":{"date-parts":[["2015",2,5]]}}},{"id":22329,"uris":["http://zotero.org/users/2351503/items/YD7V9NLQ"],"itemData":{"id":22329,"type":"article-journal","abstract":"Individuals desire a coherent worldview that both maintains personal affective states and contains functional knowledge enabling the completion of quotidian tasks. To create such a worldview, individuals seek information from both large-scale and local reference groups. Thus, group membership serves an important epistemic function. In this article, the core properties of social knowledge formation are conceptualized as the “epistemic calculus” of groups. Perceptions of low salience risks, such as global warming, are used to illustrate the social dimension of epistemic standards.","container-title":"Social Epistemology","DOI":"10.1080/02691728.2012.760660","ISSN":"0269-1728","issue":"1","note":"publisher: Routledge\n_eprint: https://doi.org/10.1080/02691728.2012.760660","page":"3-20","source":"Taylor and Francis+NEJM","title":"Groups as Epistemic Communities: Social Forces and Affect as Antecedents to Knowledge","title-short":"Groups as Epistemic Communities","volume":"27","author":[{"family":"Vähämaa","given":"Miika"}],"issued":{"date-parts":[["2013",1,1]]}}}],"schema":"https://github.com/citation-style-language/schema/raw/master/csl-citation.json"} </w:instrText>
      </w:r>
      <w:r>
        <w:rPr>
          <w:rFonts w:ascii="Arial" w:hAnsi="Arial" w:cs="Arial"/>
          <w:sz w:val="24"/>
          <w:szCs w:val="24"/>
        </w:rPr>
        <w:fldChar w:fldCharType="separate"/>
      </w:r>
      <w:r>
        <w:rPr>
          <w:rFonts w:ascii="Arial" w:hAnsi="Arial" w:cs="Arial"/>
          <w:kern w:val="0"/>
          <w:sz w:val="24"/>
          <w:szCs w:val="24"/>
        </w:rPr>
        <w:t>(Hanefeld &amp; Walt, 2015; Vähämaa, 2013)</w:t>
      </w:r>
      <w:r>
        <w:rPr>
          <w:rFonts w:ascii="Arial" w:hAnsi="Arial" w:cs="Arial"/>
          <w:sz w:val="24"/>
          <w:szCs w:val="24"/>
        </w:rPr>
        <w:fldChar w:fldCharType="end"/>
      </w:r>
      <w:r>
        <w:rPr>
          <w:rFonts w:ascii="Arial" w:hAnsi="Arial" w:cs="Arial"/>
          <w:sz w:val="24"/>
          <w:szCs w:val="24"/>
        </w:rPr>
        <w:t xml:space="preserve">. Estos conocimientos están arraigados en el contexto local y su legitimidad no se cuestiona. Las dinámicas colaborativas también tienen el mérito de dar a conocer las particularidades de una realidad a captar, para no dejar nada en las sombras </w:t>
      </w:r>
      <w:r>
        <w:rPr>
          <w:rFonts w:ascii="Arial" w:hAnsi="Arial" w:cs="Arial"/>
          <w:sz w:val="24"/>
          <w:szCs w:val="24"/>
        </w:rPr>
        <w:fldChar w:fldCharType="begin"/>
      </w:r>
      <w:r>
        <w:rPr>
          <w:rFonts w:ascii="Arial" w:hAnsi="Arial" w:cs="Arial"/>
          <w:sz w:val="24"/>
          <w:szCs w:val="24"/>
        </w:rPr>
        <w:instrText xml:space="preserve"> ADDIN ZOTERO_ITEM CSL_CITATION {"citationID":"tuNLEDUb","properties":{"formattedCitation":"(Ranmuthugala et al., 2011)","plainCitation":"(Ranmuthugala et al., 2011)","noteIndex":0},"citationItems":[{"id":6293,"uris":["http://zotero.org/users/2351503/items/HQB2Z65F"],"itemData":{"id":6293,"type":"article-journal","abstract":"Healthcare organisations seeking to manage knowledge and improve organisational performance are increasingly investing in communities of practice (CoPs). Such investments are being made in the absence of empirical evidence demonstrating the impact of CoPs in improving the delivery of healthcare. A realist evaluation is proposed to address this knowledge gap. Underpinned by the principle that outcomes are determined by the context in which an intervention is implemented, a realist evaluation is well suited to understand the role of CoPs in improving healthcare practice. By applying a realist approach, this study will explore the following questions: What outcomes do CoPs achieve in healthcare? Do these outcomes translate into improved practice in healthcare? What are the contexts and mechanisms by which CoPs improve healthcare?","container-title":"Implementation Science","DOI":"10.1186/1748-5908-6-49","ISSN":"1748-5908","issue":"1","journalAbbreviation":"Implementation Science","page":"49","source":"BioMed Central","title":"A realist evaluation of the role of communities of practice in changing healthcare practice","volume":"6","author":[{"family":"Ranmuthugala","given":"Geetha"},{"family":"Cunningham","given":"Frances C."},{"family":"Plumb","given":"Jennifer J."},{"family":"Long","given":"Janet"},{"family":"Georgiou","given":"Andrew"},{"family":"Westbrook","given":"Johanna I."},{"family":"Braithwaite","given":"Jeffrey"}],"issued":{"date-parts":[["2011",5,23]]}}}],"schema":"https://github.com/citation-style-language/schema/raw/master/csl-citation.json"} </w:instrText>
      </w:r>
      <w:r>
        <w:rPr>
          <w:rFonts w:ascii="Arial" w:hAnsi="Arial" w:cs="Arial"/>
          <w:sz w:val="24"/>
          <w:szCs w:val="24"/>
        </w:rPr>
        <w:fldChar w:fldCharType="separate"/>
      </w:r>
      <w:r>
        <w:rPr>
          <w:rFonts w:ascii="Arial" w:hAnsi="Arial" w:cs="Arial"/>
          <w:sz w:val="24"/>
          <w:szCs w:val="24"/>
        </w:rPr>
        <w:t>(Ranmuthugala et al., 2011)</w:t>
      </w:r>
      <w:r>
        <w:rPr>
          <w:rFonts w:ascii="Arial" w:hAnsi="Arial" w:cs="Arial"/>
          <w:sz w:val="24"/>
          <w:szCs w:val="24"/>
        </w:rPr>
        <w:fldChar w:fldCharType="end"/>
      </w:r>
      <w:r>
        <w:rPr>
          <w:rFonts w:ascii="Arial" w:hAnsi="Arial" w:cs="Arial"/>
          <w:sz w:val="24"/>
          <w:szCs w:val="24"/>
        </w:rPr>
        <w:t xml:space="preserve">. La descripción es exhaustiva, lo que permite comprender detalladamente el fenómeno observado </w:t>
      </w:r>
      <w:r>
        <w:rPr>
          <w:rFonts w:ascii="Arial" w:hAnsi="Arial" w:cs="Arial"/>
          <w:sz w:val="24"/>
          <w:szCs w:val="24"/>
        </w:rPr>
        <w:fldChar w:fldCharType="begin"/>
      </w:r>
      <w:r>
        <w:rPr>
          <w:rFonts w:ascii="Arial" w:hAnsi="Arial" w:cs="Arial"/>
          <w:sz w:val="24"/>
          <w:szCs w:val="24"/>
        </w:rPr>
        <w:instrText xml:space="preserve"> ADDIN ZOTERO_ITEM CSL_CITATION {"citationID":"MkhKhohj","properties":{"formattedCitation":"(Besson, 2022; Freeman, 2014)","plainCitation":"(Besson, 2022; Freeman, 2014)","noteIndex":0},"citationItems":[{"id":22345,"uris":["http://zotero.org/users/2351503/items/6D86TZW5"],"itemData":{"id":22345,"type":"article-journal","abstract":"Epistemic injustice is a growing area of study for researchers and practitioners working in the field of global health. Theoretical development and empirical research on epistemic injustice are crucial for providing more nuanced understandings of the mechanisms and structures leading to the exclusion of local and marginalised groups in research and other knowledge practices. Explicit analysis of the potential role of epistemic injustice in policies and practices is currently limited with the absence of methodological starting points. This paper aims to fill this gap in the literature by providing a guide for individuals involved in the design and review of funding schemes wishing to conduct epistemic injustice analysis of their processes using a decolonial lens. Placing contemporary concerns in a wider historical, political and social context and building from the intertwined issues of coloniality of power, coloniality of knowledge and coloniality of being that systematically exclude non-Western epistemic groups, this practice paper presents a three-step decolonial approach for understanding the role and impact of epistemic injustices in global health research funding. It starts with an understanding of how power operates in setting the aim of a call for research proposals. Then, the influence of pose and gaze in the review process is analysed to highlight the presence of epistemological colonisation before discussing methods to address the current funding asymmetries by supporting new ways of being and doing focused on knowledge plurality. Expanding research on how epistemic wrongs manifest in global health funding practices will generate key insights needed to address underlying drivers of inequities within global health project conception and delivery.","container-title":"BMJ Global Health","DOI":"10.1136/bmjgh-2022-008950","ISSN":"2059-7908","issue":"4","language":"en","license":"© Author(s) (or their employer(s)) 2022. Re-use permitted under CC BY-NC. No commercial re-use. See rights and permissions. Published by BMJ.. http://creativecommons.org/licenses/by-nc/4.0/This is an open access article distributed in accordance with the Creative Commons Attribution Non Commercial (CC BY-NC 4.0) license, which permits others to distribute, remix, adapt, build upon this work non-commercially, and license their derivative works on different terms, provided the original work is properly cited, appropriate credit is given, any changes made indicated, and the use is non-commercial. See: http://creativecommons.org/licenses/by-nc/4.0/.","note":"publisher: BMJ Specialist Journals\nsection: Practice\nPMID: 35470130","page":"e008950","source":"gh.bmj.com","title":"How to identify epistemic injustice in global health research funding practices: a decolonial guide","title-short":"How to identify epistemic injustice in global health research funding practices","volume":"7","author":[{"family":"Besson","given":"Emilie S. Koum"}],"issued":{"date-parts":[["2022",4,1]]}}},{"id":22121,"uris":["http://zotero.org/users/2351503/items/84AWBEGK"],"itemData":{"id":22121,"type":"article-journal","abstract":"Thick description is often invoked by qualitative researchers as a form of representation after analysis such as coding has been completed. I argue that thick description can be more productively considered as an aesthetic encounter guiding the research process from beginning to end. Drawing on the philosophical hermeneutics of Hans-Georg Gadamer, I demonstrate that thick description is more than an analytical consideration of context but is rather an articulation of how we see and understand. According to Gadamer, there is an aesthetic quality to our experiencing that is never completely rendered visible in our accounts. This is because we do not draw on context to make sense of the evidence presented; we see and understand in contexts—physical, historical, cultural, linguistic, moral, experiential, affective—that we venture in, as Clifford Geertz put it, as we conjure our interpretations of what is going on. It is only by allowing ourselves to be guided by the entity of study and critically questioning the complexity of our contextualized responses that we can gain a better grasp of this complex architecture that is analysis.","container-title":"Qualitative Inquiry","DOI":"10.1177/1077800414530267","ISSN":"1077-8004","issue":"6","language":"en","note":"publisher: SAGE Publications Inc","page":"827-833","source":"SAGE Journals","title":"The Hermeneutical Aesthetics of Thick Description","volume":"20","author":[{"family":"Freeman","given":"Melissa"}],"issued":{"date-parts":[["2014",7,1]]}}}],"schema":"https://github.com/citation-style-language/schema/raw/master/csl-citation.json"} </w:instrText>
      </w:r>
      <w:r>
        <w:rPr>
          <w:rFonts w:ascii="Arial" w:hAnsi="Arial" w:cs="Arial"/>
          <w:sz w:val="24"/>
          <w:szCs w:val="24"/>
        </w:rPr>
        <w:fldChar w:fldCharType="separate"/>
      </w:r>
      <w:r>
        <w:rPr>
          <w:rFonts w:ascii="Arial" w:hAnsi="Arial" w:cs="Arial"/>
          <w:sz w:val="24"/>
          <w:szCs w:val="24"/>
        </w:rPr>
        <w:t>(Besson, 2022; Freeman, 2014)</w:t>
      </w:r>
      <w:r>
        <w:rPr>
          <w:rFonts w:ascii="Arial" w:hAnsi="Arial" w:cs="Arial"/>
          <w:sz w:val="24"/>
          <w:szCs w:val="24"/>
        </w:rPr>
        <w:fldChar w:fldCharType="end"/>
      </w:r>
      <w:r>
        <w:rPr>
          <w:rFonts w:ascii="Arial" w:hAnsi="Arial" w:cs="Arial"/>
          <w:sz w:val="24"/>
          <w:szCs w:val="24"/>
        </w:rPr>
        <w:t>.</w:t>
      </w:r>
    </w:p>
    <w:p w14:paraId="3AEF60E1" w14:textId="77777777" w:rsidR="0093626A" w:rsidRDefault="0093626A" w:rsidP="005915A7">
      <w:pPr>
        <w:spacing w:after="0" w:line="360" w:lineRule="auto"/>
        <w:jc w:val="both"/>
        <w:rPr>
          <w:rFonts w:ascii="Arial" w:hAnsi="Arial" w:cs="Arial"/>
          <w:sz w:val="24"/>
          <w:szCs w:val="24"/>
        </w:rPr>
      </w:pPr>
    </w:p>
    <w:p w14:paraId="0C646A17" w14:textId="77777777" w:rsidR="0093626A" w:rsidRDefault="00000000" w:rsidP="00634580">
      <w:pPr>
        <w:spacing w:after="0" w:line="360" w:lineRule="auto"/>
        <w:ind w:firstLine="708"/>
        <w:jc w:val="both"/>
        <w:rPr>
          <w:rFonts w:ascii="Arial" w:hAnsi="Arial" w:cs="Arial"/>
          <w:sz w:val="24"/>
          <w:szCs w:val="24"/>
        </w:rPr>
      </w:pPr>
      <w:r>
        <w:rPr>
          <w:rFonts w:ascii="Arial" w:hAnsi="Arial" w:cs="Arial"/>
          <w:sz w:val="24"/>
          <w:szCs w:val="24"/>
        </w:rPr>
        <w:t xml:space="preserve">Esta comprensión basada en el conocimiento producido localmente da lugar a una inversión del equilibrio de poder, con las reglas locales del juego. Se precisa movilizar a los actores interesados para que actúen colaborativamente, evitando de esta manera la aparición de limitaciones contextuales sobre uno o varios de los </w:t>
      </w:r>
      <w:r>
        <w:rPr>
          <w:rFonts w:ascii="Arial" w:hAnsi="Arial" w:cs="Arial"/>
          <w:sz w:val="24"/>
          <w:szCs w:val="24"/>
        </w:rPr>
        <w:lastRenderedPageBreak/>
        <w:t xml:space="preserve">grupos de actores implicados: Se trata de un mecanismo de intercambio e influencia mutua </w:t>
      </w:r>
      <w:r>
        <w:rPr>
          <w:rFonts w:ascii="Arial" w:hAnsi="Arial" w:cs="Arial"/>
          <w:sz w:val="24"/>
          <w:szCs w:val="24"/>
        </w:rPr>
        <w:fldChar w:fldCharType="begin"/>
      </w:r>
      <w:r>
        <w:rPr>
          <w:rFonts w:ascii="Arial" w:hAnsi="Arial" w:cs="Arial"/>
          <w:sz w:val="24"/>
          <w:szCs w:val="24"/>
        </w:rPr>
        <w:instrText xml:space="preserve"> ADDIN ZOTERO_ITEM CSL_CITATION {"citationID":"0wJs2SRP","properties":{"formattedCitation":"(Cross, 2013)","plainCitation":"(Cross, 2013)","noteIndex":0},"citationItems":[{"id":22316,"uris":["http://zotero.org/users/2351503/items/NTPPY3SD"],"itemData":{"id":22316,"type":"article-journal","abstract":"The concept of epistemic communities – professional networks with authoritative and policy-relevant expertise – is well-known thanks to a 1992 special issue of International Organization. Over the past twenty years, the idea has gained some traction in International Relations scholarship, but has not evolved much beyond its original conceptualisation. Much of the research on epistemic communities has been limited to single case studies in articles, rather than broader comparative works, and has focused narrowly on groups of scientists. As a result, it is often assumed, erroneously, that epistemic communities are only comprised of scientists, and that the utility of the concept for understanding International Relations is quite narrow. Consequently, an otherwise promising approach to transnational networks has become somewhat marginalised over the years. This article revisits the concept of epistemic communities twenty years later and proposes specific innovations to the framework. In an increasingly globalising world, transnational actors are becoming progressively more numerous and influential. Epistemic communities are certainly at the forefront of these trends, and a better understanding of how they form and operate can give us a clear demonstration of how knowledge translates into power.","container-title":"Review of International Studies","DOI":"10.1017/S0260210512000034","ISSN":"1469-9044, 0260-2105","issue":"1","language":"en","note":"publisher: Cambridge University Press","page":"137-160","source":"Cambridge University Press","title":"Rethinking epistemic communities twenty years later","volume":"39","author":[{"family":"Cross","given":"Mai'a K. Davis"}],"issued":{"date-parts":[["2013",1]]}}}],"schema":"https://github.com/citation-style-language/schema/raw/master/csl-citation.json"} </w:instrText>
      </w:r>
      <w:r>
        <w:rPr>
          <w:rFonts w:ascii="Arial" w:hAnsi="Arial" w:cs="Arial"/>
          <w:sz w:val="24"/>
          <w:szCs w:val="24"/>
        </w:rPr>
        <w:fldChar w:fldCharType="separate"/>
      </w:r>
      <w:r>
        <w:rPr>
          <w:rFonts w:ascii="Arial" w:hAnsi="Arial" w:cs="Arial"/>
          <w:sz w:val="24"/>
          <w:szCs w:val="24"/>
        </w:rPr>
        <w:t>(Cross, 2013)</w:t>
      </w:r>
      <w:r>
        <w:rPr>
          <w:rFonts w:ascii="Arial" w:hAnsi="Arial" w:cs="Arial"/>
          <w:sz w:val="24"/>
          <w:szCs w:val="24"/>
        </w:rPr>
        <w:fldChar w:fldCharType="end"/>
      </w:r>
      <w:r>
        <w:rPr>
          <w:rFonts w:ascii="Arial" w:hAnsi="Arial" w:cs="Arial"/>
          <w:sz w:val="24"/>
          <w:szCs w:val="24"/>
        </w:rPr>
        <w:t xml:space="preserve">. Varios autores subrayan a este respecto que las dinámicas colaborativas desarrolladas en el seno de las comunidades epistémicas permiten concebir un proceso sociopolítico esencial para el espíritu crítico que precede a cualquier enfoque democrático </w:t>
      </w:r>
      <w:r>
        <w:rPr>
          <w:rFonts w:ascii="Arial" w:hAnsi="Arial" w:cs="Arial"/>
          <w:sz w:val="24"/>
          <w:szCs w:val="24"/>
        </w:rPr>
        <w:fldChar w:fldCharType="begin"/>
      </w:r>
      <w:r>
        <w:rPr>
          <w:rFonts w:ascii="Arial" w:hAnsi="Arial" w:cs="Arial"/>
          <w:sz w:val="24"/>
          <w:szCs w:val="24"/>
        </w:rPr>
        <w:instrText xml:space="preserve"> ADDIN ZOTERO_ITEM CSL_CITATION {"citationID":"qTCh2zHw","properties":{"formattedCitation":"(Antoniades, 2003; Dunlop, 2012; Kirmayer, 2012)","plainCitation":"(Antoniades, 2003; Dunlop, 2012; Kirmayer, 2012)","noteIndex":0},"citationItems":[{"id":22323,"uris":["http://zotero.org/users/2351503/items/VWY5DQAX"],"itemData":{"id":22323,"type":"article-journal","container-title":"Global Society","DOI":"10.1080/0953732032000053980","ISSN":"1360-0826","issue":"1","note":"publisher: Routledge\n_eprint: https://doi.org/10.1080/0953732032000053980","page":"21-38","source":"Taylor and Francis+NEJM","title":"Epistemic Communities, Epistemes and the Construction of (World) Politics","volume":"17","author":[{"family":"Antoniades","given":"Andreas"}],"issued":{"date-parts":[["2003",1,1]]}}},{"id":22313,"uris":["http://zotero.org/users/2351503/items/RYVPLDKN"],"itemData":{"id":22313,"type":"chapter","abstract":"Peter M. Haas formulated the epistemic communities framework as a means of exploring the influence of knowledge-based experts in international policy-making. Specifically, the approach was designed to address decision-making instances characterized by technical complexity and uncertainty. Control over the production of knowledge enables epistemic communities to articulate cause-and-effect relationships and so frame issues for collective debate and export their policy projects globally. Despite the framework being two decades old, there are still relatively few studies which explicitly test or develop the concept theoretically, thus making it difficult to assess what we have collectively and cumulatively learned about this topic. This chapter attempts to systematize key developments in the literature. The first section outlines the concept locating it in the politics of ideas literature. The second explores the state of the art in the empirical studies deploying the epistemic communities framework. The third section considers the theoretical challenges that researchers face when attempting to study epistemic communities. Discussion here proposes five possible causal pathways through which we can explain how epistemic communities help decision-makers learn. The chapter closes with a brief sketch of potential future research frontiers for scholars interested in the power of knowledge and epistemic communities in public policy.","ISBN":"978-0-415-78245-6","language":"en","note":"Accepted: 2012-12-20T14:31:52Z","publisher":"Routledge","source":"ore.exeter.ac.uk","title":"Epistemic Communities","URL":"https://ore.exeter.ac.uk/repository/handle/10036/4098","author":[{"family":"Dunlop","given":"Claire A."}],"accessed":{"date-parts":[["2023",6,18]]},"issued":{"date-parts":[["2012",11,20]]}}},{"id":22340,"uris":["http://zotero.org/users/2351503/items/JW29VH2Y"],"itemData":{"id":22340,"type":"article-journal","abstract":"Evidence-based practice (EBP) and cultural competence (CC) aim to improve the effectiveness of mental health care for diverse populations. However, there are basic tensions between these approaches. The evidence that purports to ground EBP is limited, often in ways that are biased by specific disciplinary, economic or political interests and cultural assumptions. In particular, the paucity of evidence regarding cultural minorities results in standard practices based on data from the majority population that have uncertain relevance for specific cultural groups. As well, research evidence about intervention outcomes tends to focus on individual symptoms and behaviors and may not reflect culturally relevant outcomes. To some extent, these limitations can be addressed by refining and extending current methods of evidence production. However, consideration of culture raises two deeper problems for EBP: 1) The diagnostic and conceptual frameworks used to pose questions, devise interventions, and determine outcomes in EBP are themselves culturally determined and therefore potentially biased or inappropriate; and 2) Cultural communities may have “ways of knowing” that do not rely on the kinds of observational and experimental measures and methods that characterize EBP. Attention to the nature of clinical evidence and to the importance of cultural context in illness and healing can help both EBP and CC move beyond their current limitations and contribute to the evolution of mental health services that respond effectively to cultural diversity.","container-title":"Social Science &amp; Medicine","DOI":"10.1016/j.socscimed.2012.03.018","ISSN":"0277-9536","issue":"2","journalAbbreviation":"Social Science &amp; Medicine","language":"en","page":"249-256","source":"ScienceDirect","title":"Cultural competence and evidence-based practice in mental health: Epistemic communities and the politics of pluralism","title-short":"Cultural competence and evidence-based practice in mental health","volume":"75","author":[{"family":"Kirmayer","given":"Laurence J."}],"issued":{"date-parts":[["2012",7,1]]}}}],"schema":"https://github.com/citation-style-language/schema/raw/master/csl-citation.json"} </w:instrText>
      </w:r>
      <w:r>
        <w:rPr>
          <w:rFonts w:ascii="Arial" w:hAnsi="Arial" w:cs="Arial"/>
          <w:sz w:val="24"/>
          <w:szCs w:val="24"/>
        </w:rPr>
        <w:fldChar w:fldCharType="separate"/>
      </w:r>
      <w:r>
        <w:rPr>
          <w:rFonts w:ascii="Arial" w:hAnsi="Arial" w:cs="Arial"/>
          <w:sz w:val="24"/>
          <w:szCs w:val="24"/>
        </w:rPr>
        <w:t>(Antoniades, 2003; Dunlop, 2012; Kirmayer, 2012)</w:t>
      </w:r>
      <w:r>
        <w:rPr>
          <w:rFonts w:ascii="Arial" w:hAnsi="Arial" w:cs="Arial"/>
          <w:sz w:val="24"/>
          <w:szCs w:val="24"/>
        </w:rPr>
        <w:fldChar w:fldCharType="end"/>
      </w:r>
      <w:r>
        <w:rPr>
          <w:rFonts w:ascii="Arial" w:hAnsi="Arial" w:cs="Arial"/>
          <w:sz w:val="24"/>
          <w:szCs w:val="24"/>
        </w:rPr>
        <w:t>.</w:t>
      </w:r>
    </w:p>
    <w:p w14:paraId="03469960" w14:textId="77777777" w:rsidR="0093626A" w:rsidRDefault="0093626A" w:rsidP="00634580">
      <w:pPr>
        <w:spacing w:after="0" w:line="360" w:lineRule="auto"/>
        <w:ind w:firstLine="708"/>
        <w:jc w:val="both"/>
        <w:rPr>
          <w:rFonts w:ascii="Arial" w:hAnsi="Arial" w:cs="Arial"/>
          <w:sz w:val="24"/>
          <w:szCs w:val="24"/>
        </w:rPr>
      </w:pPr>
    </w:p>
    <w:p w14:paraId="4676A103" w14:textId="77777777" w:rsidR="0093626A" w:rsidRDefault="00000000" w:rsidP="00634580">
      <w:pPr>
        <w:spacing w:after="0" w:line="360" w:lineRule="auto"/>
        <w:ind w:firstLine="708"/>
        <w:jc w:val="both"/>
        <w:rPr>
          <w:rFonts w:ascii="Arial" w:hAnsi="Arial" w:cs="Arial"/>
          <w:sz w:val="24"/>
          <w:szCs w:val="24"/>
        </w:rPr>
      </w:pPr>
      <w:r>
        <w:rPr>
          <w:rFonts w:ascii="Arial" w:hAnsi="Arial" w:cs="Arial"/>
          <w:sz w:val="24"/>
          <w:szCs w:val="24"/>
        </w:rPr>
        <w:t>Sin embargo, la aplicación de los principios de las comunidades epistémicas en el campo de la Salud Global debe llevarse a cabo con cautela. Los grupos tradicionales de investigación en el sector de la salud pública son grupos con fuertes competencias superpuestas en las que no surgen problemas de comunicación, al menos no tan pronunciadamente como en el caso de las comunidades epistémicas que forman parte de redes internacionales de investigación.</w:t>
      </w:r>
    </w:p>
    <w:p w14:paraId="500BBF37" w14:textId="77777777" w:rsidR="0093626A" w:rsidRPr="00634580" w:rsidRDefault="00000000" w:rsidP="005915A7">
      <w:pPr>
        <w:pStyle w:val="Ttulo1"/>
        <w:spacing w:before="120" w:after="120" w:line="360" w:lineRule="auto"/>
        <w:jc w:val="both"/>
        <w:rPr>
          <w:rFonts w:ascii="Arial" w:hAnsi="Arial" w:cs="Arial"/>
          <w:b/>
          <w:bCs/>
          <w:color w:val="auto"/>
          <w:sz w:val="24"/>
          <w:szCs w:val="24"/>
        </w:rPr>
      </w:pPr>
      <w:r w:rsidRPr="00634580">
        <w:rPr>
          <w:rFonts w:ascii="Arial" w:hAnsi="Arial" w:cs="Arial"/>
          <w:b/>
          <w:bCs/>
          <w:color w:val="auto"/>
          <w:sz w:val="24"/>
          <w:szCs w:val="24"/>
        </w:rPr>
        <w:t>Las comunidades epistémicas virtuales (CEV) y su utilidad en un contexto de digitalización de la Salud Global</w:t>
      </w:r>
    </w:p>
    <w:p w14:paraId="6DB38AA0" w14:textId="77777777" w:rsidR="0093626A" w:rsidRDefault="00000000" w:rsidP="005915A7">
      <w:pPr>
        <w:spacing w:after="0" w:line="360" w:lineRule="auto"/>
        <w:jc w:val="both"/>
        <w:rPr>
          <w:rFonts w:ascii="Arial" w:hAnsi="Arial" w:cs="Arial"/>
          <w:sz w:val="24"/>
          <w:szCs w:val="24"/>
        </w:rPr>
      </w:pPr>
      <w:r>
        <w:rPr>
          <w:rFonts w:ascii="Arial" w:hAnsi="Arial" w:cs="Arial"/>
          <w:sz w:val="24"/>
          <w:szCs w:val="24"/>
        </w:rPr>
        <w:t xml:space="preserve">Una limitación importante de las colaboraciones internacionales reside en que las crisis en materia de salud pública pueden aparecer después de la implementación del proyecto de investigación inicial. Este hecho subraya la importancia de la creación de observatorios que detecten y actúen ante estos desafíos </w:t>
      </w:r>
      <w:r>
        <w:rPr>
          <w:rFonts w:ascii="Arial" w:hAnsi="Arial" w:cs="Arial"/>
          <w:i/>
          <w:sz w:val="24"/>
          <w:szCs w:val="24"/>
        </w:rPr>
        <w:t xml:space="preserve">a posteriori, </w:t>
      </w:r>
      <w:r>
        <w:rPr>
          <w:rFonts w:ascii="Arial" w:hAnsi="Arial" w:cs="Arial"/>
          <w:sz w:val="24"/>
          <w:szCs w:val="24"/>
        </w:rPr>
        <w:t xml:space="preserve">es decir, cuando se complete el proceso de producción de conocimientos y una parte del equipo probablemente se haya separado de la unidad de investigación local. Dado su carácter colaborativo, las comunidades epistémicas pueden garantizar una documentación continua sobre sobre los problemas emergentes de salud pública que serían accesibles a escala global gracias a la interconectividad que permiten las TIC, constituyendo lo que se conoce como </w:t>
      </w:r>
      <w:r>
        <w:rPr>
          <w:rFonts w:ascii="Arial" w:hAnsi="Arial" w:cs="Arial"/>
          <w:i/>
          <w:iCs/>
          <w:sz w:val="24"/>
          <w:szCs w:val="24"/>
        </w:rPr>
        <w:t>comunidades epistémicas</w:t>
      </w:r>
      <w:r>
        <w:rPr>
          <w:rFonts w:ascii="Arial" w:hAnsi="Arial" w:cs="Arial"/>
          <w:sz w:val="24"/>
          <w:szCs w:val="24"/>
        </w:rPr>
        <w:t xml:space="preserve"> </w:t>
      </w:r>
      <w:r>
        <w:rPr>
          <w:rFonts w:ascii="Arial" w:hAnsi="Arial" w:cs="Arial"/>
          <w:i/>
          <w:sz w:val="24"/>
          <w:szCs w:val="24"/>
        </w:rPr>
        <w:t xml:space="preserve">virtuales </w:t>
      </w:r>
      <w:r>
        <w:rPr>
          <w:rFonts w:ascii="Arial" w:hAnsi="Arial" w:cs="Arial"/>
          <w:iCs/>
          <w:sz w:val="24"/>
          <w:szCs w:val="24"/>
        </w:rPr>
        <w:t>(CEV)</w:t>
      </w:r>
      <w:r>
        <w:rPr>
          <w:rFonts w:ascii="Arial" w:hAnsi="Arial" w:cs="Arial"/>
          <w:i/>
          <w:sz w:val="24"/>
          <w:szCs w:val="24"/>
        </w:rPr>
        <w:t xml:space="preserve"> </w:t>
      </w:r>
      <w:r>
        <w:rPr>
          <w:rFonts w:ascii="Arial" w:hAnsi="Arial" w:cs="Arial"/>
          <w:i/>
          <w:sz w:val="24"/>
          <w:szCs w:val="24"/>
        </w:rPr>
        <w:fldChar w:fldCharType="begin"/>
      </w:r>
      <w:r>
        <w:rPr>
          <w:rFonts w:ascii="Arial" w:hAnsi="Arial" w:cs="Arial"/>
          <w:i/>
          <w:sz w:val="24"/>
          <w:szCs w:val="24"/>
        </w:rPr>
        <w:instrText xml:space="preserve"> ADDIN ZOTERO_ITEM CSL_CITATION {"citationID":"3UxTGsCy","properties":{"formattedCitation":"(Dube et al., 2006; Gannon-Leary &amp; Fontainha, 2007; Vaast, 2004)","plainCitation":"(Dube et al., 2006; Gannon-Leary &amp; Fontainha, 2007; Vaast, 2004)","noteIndex":0},"citationItems":[{"id":22419,"uris":["http://zotero.org/users/2351503/items/EGVEVAWK"],"itemData":{"id":22419,"type":"article-journal","abstract":"The literature is packed with “one-size-fits-all” advice on how to develop intentionally formed virtual communities of practice (VCoPs). However, a closer look at the literature shows that VCoPs often have unique “personalities.” Based on an extensive review of the literature and a study of 18 VCoPs, we built a typology containing 21 structuring characteristics. We then used this typology and three of the studied VCoPs to show how different their basic natures are. Researchers and practitioners alike must not only recognize the diversity of VCoPs, but also identify challenges, strategies and practices that are contingent upon their specific characteristics.","container-title":"Interdisciplinary Journal of Information, Knowledge, and Management","DOI":"10.28945/115","ISSN":"1555-1229, 1555-1237","journalAbbreviation":"IJIKM","language":"en","page":"069-093","source":"DOI.org (Crossref)","title":"Towards a Typology of Virtual Communities of Practice","volume":"1","author":[{"family":"Dube","given":"Line"},{"family":"Bourhis","given":"Anne"},{"family":"Jacob","given":"Real"}],"issued":{"date-parts":[["2006"]]}}},{"id":22434,"uris":["http://zotero.org/users/2351503/items/HLWPBYFZ"],"itemData":{"id":22434,"type":"article-journal","abstract":"A virtual Community of Practice (CoP) is a network of individuals who share a domain of interest about which they communicate online. The practitioners share resources (for example experiences, problems and solutions, tools, methodologies). Such communication results in the improvement of the knowledge of each participant in the community and contributes to the development of the knowledge within the domain. A virtual learning community may involve the conduct of original research but it is more likely that its main purpose is to increase the knowledge of participants, via formal education or professional development. Virtual learning communities could have learning as their main goal or the elearning could be generated as a side effect.","language":"en","source":"Zotero","title":"Communities of Practice and virtual learning communities: benefits, barriers and success factors","author":[{"family":"Gannon-Leary","given":"Pat"},{"family":"Fontainha","given":"Elsa"}],"issued":{"date-parts":[["2007"]]}}},{"id":22435,"uris":["http://zotero.org/users/2351503/items/YHUG9W36"],"itemData":{"id":22435,"type":"article-journal","abstract":"Communities of practice are highly situated and, yet, networks of practice supposedly connect them. Assuming the situated dimension of work and identity in communities of practice, how may dispersed agents be connected, and how may the features of communities of practice be extended from the local to the network level? This article proposes that the use of intranets contributes to the interconnections of local communities and to the emergence of a network of practice. It draws on two case studies in which members of local communities used an intranet system to establish communications with remote colleagues in ways that did not merely reproduce their immediate context. The use of the intranet contributed to the mutual reinforcement of local communities, and of the overall network, and to growing complementarities among colleagues at different levels. Conceptually, in a relational perspective, the use of the intranet extended the situatedness of practice.","container-title":"Management Communication Quarterly","DOI":"10.1177/0893318904265125","ISSN":"0893-3189","issue":"1","language":"en","note":"publisher: SAGE Publications Inc","page":"5-44","source":"SAGE Journals","title":"O Brother, Where are Thou?: From Communities to Networks of Practice Through Intranet Use","title-short":"O Brother, Where are Thou?","volume":"18","author":[{"family":"Vaast","given":"Emmanuelle"}],"issued":{"date-parts":[["2004",8,1]]}}}],"schema":"https://github.com/citation-style-language/schema/raw/master/csl-citation.json"} </w:instrText>
      </w:r>
      <w:r>
        <w:rPr>
          <w:rFonts w:ascii="Arial" w:hAnsi="Arial" w:cs="Arial"/>
          <w:i/>
          <w:sz w:val="24"/>
          <w:szCs w:val="24"/>
        </w:rPr>
        <w:fldChar w:fldCharType="separate"/>
      </w:r>
      <w:r>
        <w:rPr>
          <w:rFonts w:ascii="Arial" w:hAnsi="Arial" w:cs="Arial"/>
          <w:sz w:val="24"/>
          <w:szCs w:val="24"/>
        </w:rPr>
        <w:t>(Dube et al., 2006; Gannon-Leary &amp; Fontainha, 2007; Vaast, 2004)</w:t>
      </w:r>
      <w:r>
        <w:rPr>
          <w:rFonts w:ascii="Arial" w:hAnsi="Arial" w:cs="Arial"/>
          <w:i/>
          <w:sz w:val="24"/>
          <w:szCs w:val="24"/>
        </w:rPr>
        <w:fldChar w:fldCharType="end"/>
      </w:r>
      <w:r>
        <w:rPr>
          <w:rFonts w:ascii="Arial" w:hAnsi="Arial" w:cs="Arial"/>
          <w:sz w:val="24"/>
          <w:szCs w:val="24"/>
        </w:rPr>
        <w:t>.</w:t>
      </w:r>
    </w:p>
    <w:p w14:paraId="1BDA20AD" w14:textId="77777777" w:rsidR="0093626A" w:rsidRDefault="0093626A" w:rsidP="005915A7">
      <w:pPr>
        <w:spacing w:after="0" w:line="360" w:lineRule="auto"/>
        <w:jc w:val="both"/>
        <w:rPr>
          <w:rFonts w:ascii="Arial" w:hAnsi="Arial" w:cs="Arial"/>
          <w:sz w:val="24"/>
          <w:szCs w:val="24"/>
        </w:rPr>
      </w:pPr>
    </w:p>
    <w:p w14:paraId="1A244CC4" w14:textId="77777777" w:rsidR="0093626A" w:rsidRDefault="00000000" w:rsidP="00634580">
      <w:pPr>
        <w:spacing w:after="0" w:line="360" w:lineRule="auto"/>
        <w:ind w:firstLine="708"/>
        <w:jc w:val="both"/>
        <w:rPr>
          <w:rFonts w:ascii="Arial" w:hAnsi="Arial" w:cs="Arial"/>
          <w:sz w:val="24"/>
          <w:szCs w:val="24"/>
        </w:rPr>
      </w:pPr>
      <w:r>
        <w:rPr>
          <w:rFonts w:ascii="Arial" w:hAnsi="Arial" w:cs="Arial"/>
          <w:sz w:val="24"/>
          <w:szCs w:val="24"/>
        </w:rPr>
        <w:t xml:space="preserve">Estas comunidades pueden utilizar una amplia gama de medios tradicionales, como el teléfono, la teleconferencia y el fax, así como herramientas tecnológicas más sofisticadas, como el correo electrónico, la videoconferencia, los grupos de discusión en línea, las bases de datos compartidas, los sitios web, las </w:t>
      </w:r>
      <w:r>
        <w:rPr>
          <w:rFonts w:ascii="Arial" w:hAnsi="Arial" w:cs="Arial"/>
          <w:sz w:val="24"/>
          <w:szCs w:val="24"/>
        </w:rPr>
        <w:lastRenderedPageBreak/>
        <w:t xml:space="preserve">intranets y muchos otros medios digitales que facilitan la interacción entre sus miembros </w:t>
      </w:r>
      <w:r>
        <w:rPr>
          <w:rFonts w:ascii="Arial" w:hAnsi="Arial" w:cs="Arial"/>
          <w:sz w:val="24"/>
          <w:szCs w:val="24"/>
        </w:rPr>
        <w:fldChar w:fldCharType="begin"/>
      </w:r>
      <w:r>
        <w:rPr>
          <w:rFonts w:ascii="Arial" w:hAnsi="Arial" w:cs="Arial"/>
          <w:sz w:val="24"/>
          <w:szCs w:val="24"/>
        </w:rPr>
        <w:instrText xml:space="preserve"> ADDIN ZOTERO_ITEM CSL_CITATION {"citationID":"6w8Qxcp7","properties":{"formattedCitation":"(Duberry, 2020; Grabher &amp; Ibert, 2017)","plainCitation":"(Duberry, 2020; Grabher &amp; Ibert, 2017)","noteIndex":0},"citationItems":[{"id":192,"uris":["http://zotero.org/users/2351503/items/GFW4DED4"],"itemData":{"id":192,"type":"article-journal","abstract":"At the time of the covid-19 pandemic, most global health organizations had to adapt their work methods and processes to online collaborative tools such as Zoom, Google Meet or Webex Cisco. However, these new collaborative tools are mainly dedicated to staff. What about the participation of other stakeholders in the decision-making processes of these organizations? Based on a methodology that was initially developed to analyze the participation features of local governments' websites, this paper conducts a comparative analysis of the websites of 10 international health organizations. Some results are similar to e-participation in a local context: organizations use their website primarily to provide access to information rather than to engage with their stakeholders. This study also highlights the diversity of e-participation features and levels that GHG organizations offer to their audiences. Further research with a larger sample of organizations is needed to confirm these results. Au moment de la pandémie de la covid-19, la plupart des organisations internationales de la santé ont dû adapter leurs méthodes et processus de travail à des outils de collaboration en ligne tels que Zoom, Google Meet ou Webex Cisco. Cependant, ces nouveaux outils collaboratifs sont principalement dédiés au personnel. Qu'en est-il de la participation d'autres parties prenantes aux processus décisionnels de ces organisations ? Sur la base d'une méthodologie initialement développée pour analyser les caractéristiques de participation des sites internet des gouvernements locaux, cet article effectue une analyse comparative des sites internet de 10 organisations internationales de la santé. Cet article montre que les organisations de cet échantillon utilisent leur site internet principalement pour donner accès à des informations davantage que pour dialoguer avec différents publics. Cette étude met également en évidence la diversité des caractéristiques et des niveaux de participation en ligne que les organisations de la santé offrent à leurs parties prenantes. Des recherches plus approfondies et avec un échantillon plus large d'organisations sont nécessaires pour confirmer ces résultats.","language":"fre","source":"archive-ouverte.unige.ch","title":"e-Participation in global health organizations","URL":"https://archive-ouverte.unige.ch/unige:143095","author":[{"family":"Duberry","given":"Jérôme"}],"accessed":{"date-parts":[["2021",9,4]]},"issued":{"date-parts":[["2020"]]}}},{"id":22352,"uris":["http://zotero.org/users/2351503/items/FCNW9QJL"],"itemData":{"id":22352,"type":"chapter","abstract":"This chapter is concerned with two widely shared misunderstandings related to the notion of virtual knowledge creation. First, virtual is often associated or even equated with immateriality. As a consequence, virtual knowledge collaboration is mainly seen as a viable option in digital knowledge domains but not in more traditional fields. Second, “virtual” is often understood as being derived from the “real”. Virtual interaction thus is treated as a deficient substitute for face-to-face interaction. Against this background we use data obtained from netnography undertaken in nine virtual hybrid communities to explore more systematically the material preconditions of virtual knowledge collaboration. We also specify specific benefits of distanciated relations in knowledge collaboration that so far have been understated or overlooked. Our findings demonstrate that the social cohesion of virtual communities is partly enhanced through organized forms of co-presence and that online knowledge collaboration is embedded in material offline environments. Of course, collaboration in virtual hybrid communities lacks the media richness and the entire spectrum of non-verbal cues through which face-to-face encounters ease mutual understanding. Yet distinct features of online interaction, such as quasi-anonymity, asynchronicity and virtual memory do provide unique opportunities for collaboration unattainable in classical face-to-face contexts.","container-title":"The Elgar Companion to Innovation and Knowledge Creation","ISBN":"978-1-78254-852-2","language":"en_US","note":"section: The Elgar Companion to Innovation and Knowledge Creation","page":"537-555","publisher":"Edward Elgar Publishing","source":"www.elgaronline.com","title":"Knowledge collaboration in hybrid virtual communities","URL":"https://www.elgaronline.com/display/edcoll/9781782548515/9781782548515.00044.xml","author":[{"family":"Grabher","given":"Gernot"},{"family":"Ibert","given":"Oliver"}],"accessed":{"date-parts":[["2023",6,18]]},"issued":{"date-parts":[["2017",11,24]]}}}],"schema":"https://github.com/citation-style-language/schema/raw/master/csl-citation.json"} </w:instrText>
      </w:r>
      <w:r>
        <w:rPr>
          <w:rFonts w:ascii="Arial" w:hAnsi="Arial" w:cs="Arial"/>
          <w:sz w:val="24"/>
          <w:szCs w:val="24"/>
        </w:rPr>
        <w:fldChar w:fldCharType="separate"/>
      </w:r>
      <w:r>
        <w:rPr>
          <w:rFonts w:ascii="Arial" w:hAnsi="Arial" w:cs="Arial"/>
          <w:sz w:val="24"/>
          <w:szCs w:val="24"/>
        </w:rPr>
        <w:t>(Duberry, 2020; Grabher &amp; Ibert, 2017)</w:t>
      </w:r>
      <w:r>
        <w:rPr>
          <w:rFonts w:ascii="Arial" w:hAnsi="Arial" w:cs="Arial"/>
          <w:sz w:val="24"/>
          <w:szCs w:val="24"/>
        </w:rPr>
        <w:fldChar w:fldCharType="end"/>
      </w:r>
      <w:r>
        <w:rPr>
          <w:rFonts w:ascii="Arial" w:hAnsi="Arial" w:cs="Arial"/>
          <w:sz w:val="24"/>
          <w:szCs w:val="24"/>
        </w:rPr>
        <w:t xml:space="preserve">. Las CEV juegan un papel fundamental en el campo de la Salud Global a dos niveles: por un lado, constituyen una herramienta indispensable para compartir los procesos y resultados de los proyectos de investigación locales. Los actores interesados son informados en todo momento del progreso del trabajo mientras difunden los resultados de una forma visual, práctica y dinámica. Por otro lado, estas comunidades se posicionan como un canal de comunicación con una comunidad global más amplia que forma parte de otros proyectos de investigación en la escena internacional </w:t>
      </w:r>
      <w:r>
        <w:rPr>
          <w:rFonts w:ascii="Arial" w:hAnsi="Arial" w:cs="Arial"/>
          <w:sz w:val="24"/>
          <w:szCs w:val="24"/>
        </w:rPr>
        <w:fldChar w:fldCharType="begin"/>
      </w:r>
      <w:r>
        <w:rPr>
          <w:rFonts w:ascii="Arial" w:hAnsi="Arial" w:cs="Arial"/>
          <w:sz w:val="24"/>
          <w:szCs w:val="24"/>
        </w:rPr>
        <w:instrText xml:space="preserve"> ADDIN ZOTERO_ITEM CSL_CITATION {"citationID":"L8ylvpLV","properties":{"formattedCitation":"(Kitchin et al., 2017; K. Lee, 2010)","plainCitation":"(Kitchin et al., 2017; K. Lee, 2010)","noteIndex":0},"citationItems":[{"id":22359,"uris":["http://zotero.org/users/2351503/items/TM7X56BB"],"itemData":{"id":22359,"type":"article-journal","abstract":"We argue that the ideas, ideals and the rapid proliferation of smart city rhetoric and initiatives globally have been facilitated and promoted by three inter-related communities: (i) `urban technocrats'; (ii) a smart cities `epistemic community'; (iii) a wider `advocacy coalition'. We examine their roles and the multiscale formation, and why despite their influence they encounter a `last mile problem'; that is, smart city initiatives are yet to become fully mainstreamed. We illustrate this last mile problem through a discussion of plans to introduce smart lighting in Dublin.","container-title":"it - Information Technology","DOI":"10.1515/itit-2017-0004","ISSN":"2196-7032","issue":"6","language":"en","note":"publisher: De Gruyter Oldenbourg","page":"275-284","source":"www.degruyter.com","title":"Smart cities, epistemic communities, advocacy coalitions and the `last mile' problem","volume":"59","author":[{"family":"Kitchin","given":"Rob"},{"family":"Coletta","given":"Claudio"},{"family":"Evans","given":"Leighton"},{"family":"Heaphy","given":"Liam"},{"family":"MacDonncha","given":"Darach"}],"issued":{"date-parts":[["2017",12,1]]}}},{"id":22331,"uris":["http://zotero.org/users/2351503/items/HVFMSTY7"],"itemData":{"id":22331,"type":"article-journal","abstract":"Amid discussion of how global health governance should and could be strengthened, the potential role of civil society organizations has been frequently raised. This paper considers the role of Civil Society Organizations (CSOs) in four health governance instruments under the auspices of the World Health Organization – the International Code on the Marketing of Breastmilk Substitutes, Framework Convention on Tobacco Control, International Health Regulations and Codex Alimentarius - and maps the functions they have contributed to. The paper draws conclusions about the opportunities and limitations CSOs represent for strengthening global health governance (GHG).","container-title":"Global health governance : the scholarly journal for the new health security paradigm","ISSN":"1939-2389","issue":"2","journalAbbreviation":"Glob Health Gov","note":"PMID: 27274776\nPMCID: PMC4888897","page":"http://blogs.shu.edu/ghg/files/2011/11/Lee_Civil-Society-Organizations-and-the-Functions-of-Global-Health-Governance_Spring-2010.pdf","source":"PubMed Central","title":"Civil Society Organizations and the Functions of Global Health Governance: What Role within Intergovernmental Organizations?","title-short":"Civil Society Organizations and the Functions of Global Health Governance","volume":"3","author":[{"family":"Lee","given":"Kelley"}],"issued":{"date-parts":[["2010"]]}}}],"schema":"https://github.com/citation-style-language/schema/raw/master/csl-citation.json"} </w:instrText>
      </w:r>
      <w:r>
        <w:rPr>
          <w:rFonts w:ascii="Arial" w:hAnsi="Arial" w:cs="Arial"/>
          <w:sz w:val="24"/>
          <w:szCs w:val="24"/>
        </w:rPr>
        <w:fldChar w:fldCharType="separate"/>
      </w:r>
      <w:r>
        <w:rPr>
          <w:rFonts w:ascii="Arial" w:hAnsi="Arial" w:cs="Arial"/>
          <w:sz w:val="24"/>
          <w:szCs w:val="24"/>
        </w:rPr>
        <w:t>(Kitchin et al., 2017; K. Lee, 2010)</w:t>
      </w:r>
      <w:r>
        <w:rPr>
          <w:rFonts w:ascii="Arial" w:hAnsi="Arial" w:cs="Arial"/>
          <w:sz w:val="24"/>
          <w:szCs w:val="24"/>
        </w:rPr>
        <w:fldChar w:fldCharType="end"/>
      </w:r>
      <w:r>
        <w:rPr>
          <w:rFonts w:ascii="Arial" w:hAnsi="Arial" w:cs="Arial"/>
          <w:sz w:val="24"/>
          <w:szCs w:val="24"/>
        </w:rPr>
        <w:t>.</w:t>
      </w:r>
    </w:p>
    <w:p w14:paraId="7DA1AC5A" w14:textId="77777777" w:rsidR="0093626A" w:rsidRDefault="0093626A" w:rsidP="00634580">
      <w:pPr>
        <w:spacing w:after="0" w:line="360" w:lineRule="auto"/>
        <w:ind w:firstLine="708"/>
        <w:jc w:val="both"/>
        <w:rPr>
          <w:rFonts w:ascii="Arial" w:hAnsi="Arial" w:cs="Arial"/>
          <w:sz w:val="24"/>
          <w:szCs w:val="24"/>
        </w:rPr>
      </w:pPr>
    </w:p>
    <w:p w14:paraId="3E5DFEE4" w14:textId="77777777" w:rsidR="0093626A" w:rsidRDefault="00000000" w:rsidP="00634580">
      <w:pPr>
        <w:spacing w:after="0" w:line="360" w:lineRule="auto"/>
        <w:ind w:firstLine="708"/>
        <w:jc w:val="both"/>
        <w:rPr>
          <w:rFonts w:ascii="Arial" w:hAnsi="Arial" w:cs="Arial"/>
          <w:sz w:val="24"/>
          <w:szCs w:val="24"/>
        </w:rPr>
      </w:pPr>
      <w:r>
        <w:rPr>
          <w:rFonts w:ascii="Arial" w:hAnsi="Arial" w:cs="Arial"/>
          <w:sz w:val="24"/>
          <w:szCs w:val="24"/>
        </w:rPr>
        <w:t xml:space="preserve">A pesar de las limitaciones potenciales inherentes a las cuestiones de accesibilidad a las TIC, la distancia física entre actores relevantes en el ámbito internacional, el cambio constante en la composición de los equipos de investigación, las relaciones de confianza y los problemas de mediación intercultural </w:t>
      </w:r>
      <w:r>
        <w:rPr>
          <w:rFonts w:ascii="Arial" w:hAnsi="Arial" w:cs="Arial"/>
          <w:sz w:val="24"/>
          <w:szCs w:val="24"/>
        </w:rPr>
        <w:fldChar w:fldCharType="begin"/>
      </w:r>
      <w:r>
        <w:rPr>
          <w:rFonts w:ascii="Arial" w:hAnsi="Arial" w:cs="Arial"/>
          <w:sz w:val="24"/>
          <w:szCs w:val="24"/>
        </w:rPr>
        <w:instrText xml:space="preserve"> ADDIN ZOTERO_ITEM CSL_CITATION {"citationID":"sXaJiCO5","properties":{"formattedCitation":"(Gannon-Leary &amp; Fontainha, 2007; Sabah &amp; Cook-Craig, 2010)","plainCitation":"(Gannon-Leary &amp; Fontainha, 2007; Sabah &amp; Cook-Craig, 2010)","noteIndex":0},"citationItems":[{"id":22434,"uris":["http://zotero.org/users/2351503/items/HLWPBYFZ"],"itemData":{"id":22434,"type":"article-journal","abstract":"A virtual Community of Practice (CoP) is a network of individuals who share a domain of interest about which they communicate online. The practitioners share resources (for example experiences, problems and solutions, tools, methodologies). Such communication results in the improvement of the knowledge of each participant in the community and contributes to the development of the knowledge within the domain. A virtual learning community may involve the conduct of original research but it is more likely that its main purpose is to increase the knowledge of participants, via formal education or professional development. Virtual learning communities could have learning as their main goal or the elearning could be generated as a side effect.","language":"en","source":"Zotero","title":"Communities of Practice and virtual learning communities: benefits, barriers and success factors","author":[{"family":"Gannon-Leary","given":"Pat"},{"family":"Fontainha","given":"Elsa"}],"issued":{"date-parts":[["2007"]]}}},{"id":3303,"uris":["http://zotero.org/users/2351503/items/RS3RAB2W"],"itemData":{"id":3303,"type":"article-journal","abstract":"In the past decade, the Israeli Ministry of Social Affairs has been engaged in an ongoing effort to change the capacity of social service organizations and social workers across the country to use and create knowledge in order to achieve the best outcomes for the people they serve. Although there is an ever-growing mandate in Israel to demonstrate outcomes and use effective strategies, social workers have historically experienced unique challenges in accessing and assessing available evidence-based practice when they are available. The first step to addressing these challenges, the intra-organizational phase, was to design, implement, and test a model of organizational learning designed to teach social workers how to use learning to change practice. The second step, the inter-organizational phase, was the introduction of virtual communities of practice as a tool to support workers in the acquisition and dissemination of new knowledge. This paper presents a case study of this effort including a description of the development and implementation of the two phases and an agenda for future research.","container-title":"Research on Social Work Practice","DOI":"10.1177/1049731509339031","ISSN":"1049-7315","issue":"4","journalAbbreviation":"Research on Social Work Practice","language":"en","page":"435-446","source":"SAGE Journals","title":"Learning Teams and Virtual Communities of Practice: Managing Evidence and Expertise Beyond the Stable State","title-short":"Learning Teams and Virtual Communities of Practice","volume":"20","author":[{"family":"Sabah","given":"Yekutiel"},{"family":"Cook-Craig","given":"Patricia"}],"issued":{"date-parts":[["2010",7,1]]}}}],"schema":"https://github.com/citation-style-language/schema/raw/master/csl-citation.json"} </w:instrText>
      </w:r>
      <w:r>
        <w:rPr>
          <w:rFonts w:ascii="Arial" w:hAnsi="Arial" w:cs="Arial"/>
          <w:sz w:val="24"/>
          <w:szCs w:val="24"/>
        </w:rPr>
        <w:fldChar w:fldCharType="separate"/>
      </w:r>
      <w:r>
        <w:rPr>
          <w:rFonts w:ascii="Arial" w:hAnsi="Arial" w:cs="Arial"/>
          <w:sz w:val="24"/>
          <w:szCs w:val="24"/>
        </w:rPr>
        <w:t>(Gannon-Leary &amp; Fontainha, 2007; Sabah &amp; Cook-Craig, 2010)</w:t>
      </w:r>
      <w:r>
        <w:rPr>
          <w:rFonts w:ascii="Arial" w:hAnsi="Arial" w:cs="Arial"/>
          <w:sz w:val="24"/>
          <w:szCs w:val="24"/>
        </w:rPr>
        <w:fldChar w:fldCharType="end"/>
      </w:r>
      <w:r>
        <w:rPr>
          <w:rFonts w:ascii="Arial" w:hAnsi="Arial" w:cs="Arial"/>
          <w:sz w:val="24"/>
          <w:szCs w:val="24"/>
        </w:rPr>
        <w:t xml:space="preserve">, la fluidez y flexibilidad de los procesos de comunicación desarrollados por las CEV permiten enfrentar los múltiples desafíos inherentes a la implementación de la investigación colaborativa en el campo de la Salud Global </w:t>
      </w:r>
      <w:r>
        <w:rPr>
          <w:rFonts w:ascii="Arial" w:hAnsi="Arial" w:cs="Arial"/>
          <w:sz w:val="24"/>
          <w:szCs w:val="24"/>
        </w:rPr>
        <w:fldChar w:fldCharType="begin"/>
      </w:r>
      <w:r>
        <w:rPr>
          <w:rFonts w:ascii="Arial" w:hAnsi="Arial" w:cs="Arial"/>
          <w:sz w:val="24"/>
          <w:szCs w:val="24"/>
        </w:rPr>
        <w:instrText xml:space="preserve"> ADDIN ZOTERO_ITEM CSL_CITATION {"citationID":"VAQ9c4SW","properties":{"formattedCitation":"(Koh et al., 2007; Struminger et al., 2017)","plainCitation":"(Koh et al., 2007; Struminger et al., 2017)","noteIndex":0},"citationItems":[{"id":3298,"uris":["http://zotero.org/users/2351503/items/S2K2TIMC"],"itemData":{"id":3298,"type":"article-journal","abstract":"Leaders of robust, sustainable virtual communities find ways tostrengthen their members' sense of social identity and motivate their participation in the community's activities.","container-title":"Commun. ACM","DOI":"10.1145/1216016.1216023","ISSN":"0001-0782","issue":"2","page":"68–73","source":"ACM Digital Library","title":"Encouraging Participation in Virtual Communities","volume":"50","author":[{"family":"Koh","given":"Joon"},{"family":"Kim","given":"Young-Gul"},{"family":"Butler","given":"Brian"},{"family":"Bock","given":"Gee-Woo"}],"issued":{"date-parts":[["2007",2]]}}},{"id":22412,"uris":["http://zotero.org/users/2351503/items/JPB369ZN"],"itemData":{"id":22412,"type":"article-journal","container-title":"The Lancet","DOI":"10.1016/S0140-6736(17)31666-5","ISSN":"0140-6736, 1474-547X","issue":"10095","journalAbbreviation":"The Lancet","language":"English","note":"publisher: Elsevier\nPMID: 28816126","page":"632-634","source":"www.thelancet.com","title":"Building virtual communities of practice for health","volume":"390","author":[{"family":"Struminger","given":"Bruce"},{"family":"Arora","given":"Sanjeev"},{"family":"Zalud-Cerrato","given":"Sarah"},{"family":"Lowrance","given":"David"},{"family":"Ellerbrock","given":"Tedd"}],"issued":{"date-parts":[["2017",8,12]]}}}],"schema":"https://github.com/citation-style-language/schema/raw/master/csl-citation.json"} </w:instrText>
      </w:r>
      <w:r>
        <w:rPr>
          <w:rFonts w:ascii="Arial" w:hAnsi="Arial" w:cs="Arial"/>
          <w:sz w:val="24"/>
          <w:szCs w:val="24"/>
        </w:rPr>
        <w:fldChar w:fldCharType="separate"/>
      </w:r>
      <w:r>
        <w:rPr>
          <w:rFonts w:ascii="Arial" w:hAnsi="Arial" w:cs="Arial"/>
          <w:sz w:val="24"/>
          <w:szCs w:val="24"/>
        </w:rPr>
        <w:t>(Koh et al., 2007; Struminger et al., 2017)</w:t>
      </w:r>
      <w:r>
        <w:rPr>
          <w:rFonts w:ascii="Arial" w:hAnsi="Arial" w:cs="Arial"/>
          <w:sz w:val="24"/>
          <w:szCs w:val="24"/>
        </w:rPr>
        <w:fldChar w:fldCharType="end"/>
      </w:r>
      <w:r>
        <w:rPr>
          <w:rFonts w:ascii="Arial" w:hAnsi="Arial" w:cs="Arial"/>
          <w:sz w:val="24"/>
          <w:szCs w:val="24"/>
        </w:rPr>
        <w:t>.</w:t>
      </w:r>
    </w:p>
    <w:p w14:paraId="370856F5" w14:textId="77777777" w:rsidR="0093626A" w:rsidRDefault="0093626A" w:rsidP="005915A7">
      <w:pPr>
        <w:tabs>
          <w:tab w:val="left" w:pos="131"/>
          <w:tab w:val="left" w:pos="136"/>
          <w:tab w:val="left" w:pos="141"/>
        </w:tabs>
        <w:spacing w:after="0" w:line="360" w:lineRule="auto"/>
        <w:jc w:val="both"/>
        <w:rPr>
          <w:rFonts w:ascii="Arial" w:hAnsi="Arial" w:cs="Arial"/>
          <w:sz w:val="24"/>
          <w:szCs w:val="24"/>
        </w:rPr>
      </w:pPr>
    </w:p>
    <w:p w14:paraId="55FCBE95" w14:textId="77777777" w:rsidR="0093626A" w:rsidRDefault="00000000" w:rsidP="005915A7">
      <w:pPr>
        <w:tabs>
          <w:tab w:val="left" w:pos="131"/>
          <w:tab w:val="left" w:pos="136"/>
          <w:tab w:val="left" w:pos="141"/>
        </w:tabs>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A </w:t>
      </w:r>
      <w:r>
        <w:rPr>
          <w:rFonts w:ascii="Arial" w:hAnsi="Arial" w:cs="Arial"/>
          <w:i/>
          <w:iCs/>
          <w:sz w:val="24"/>
          <w:szCs w:val="24"/>
        </w:rPr>
        <w:t>nivel organizativo</w:t>
      </w:r>
      <w:r>
        <w:rPr>
          <w:rFonts w:ascii="Arial" w:hAnsi="Arial" w:cs="Arial"/>
          <w:sz w:val="24"/>
          <w:szCs w:val="24"/>
        </w:rPr>
        <w:t xml:space="preserve">, el contacto entre varias comunidades de investigación permitiría a algunos equipos inspirarse en experiencias similares centradas en el mismo objeto de investigación para salir de los impasses logísticos y financieros que estos equipos enfrentan a menudo. Así, los consejos desarrollados por algunos investigadores para obtener financiación para sus proyectos de investigación podrían estandardizarse y dar lugar a un proceso de desarrollo de capacidades de financiación y gestión de proyectos de investigación colaborativa </w:t>
      </w:r>
      <w:r>
        <w:rPr>
          <w:rFonts w:ascii="Arial" w:hAnsi="Arial" w:cs="Arial"/>
          <w:sz w:val="24"/>
          <w:szCs w:val="24"/>
        </w:rPr>
        <w:fldChar w:fldCharType="begin"/>
      </w:r>
      <w:r>
        <w:rPr>
          <w:rFonts w:ascii="Arial" w:hAnsi="Arial" w:cs="Arial"/>
          <w:sz w:val="24"/>
          <w:szCs w:val="24"/>
        </w:rPr>
        <w:instrText xml:space="preserve"> ADDIN ZOTERO_ITEM CSL_CITATION {"citationID":"cn2MtJ2j","properties":{"formattedCitation":"(Meessen et al., 2011; Pratt, 2021; Suarez-Herrera et al., 2009)","plainCitation":"(Meessen et al., 2011; Pratt, 2021; Suarez-Herrera et al., 2009)","noteIndex":0},"citationItems":[{"id":8050,"uris":["http://zotero.org/users/2351503/items/BUAWXFKP"],"itemData":{"id":8050,"type":"article-journal","abstract":"The implementation of policies remains a huge challenge in many low-income countries. Several factors play a role in this, but improper management of existing knowledge is no doubt a major issue. In this article, we argue that new platforms should be created that gather all stakeholders who hold pieces of relevant knowledge for successful policies. To build our case, we capitalize on our experience in our domain of practice, health care financing in sub-Saharan Africa. We recently adopted a community of practice strategy in the region. More in general, we consider these platforms as the way forward for knowledge management of implementation issues.","container-title":"Tropical Medicine &amp; International Health","DOI":"https://doi.org/10.1111/j.1365-3156.2011.02794.x","ISSN":"1365-3156","issue":"8","language":"en","license":"© 2011 Blackwell Publishing Ltd","page":"1007-1014","source":"Wiley Online Library","title":"Communities of practice: the missing link for knowledge management on implementation issues in low-income countries?","title-short":"Communities of practice","volume":"16","author":[{"family":"Meessen","given":"Bruno"},{"family":"Kouanda","given":"Seni"},{"family":"Musango","given":"Laurent"},{"family":"Richard","given":"Fabienne"},{"family":"Ridde","given":"Valéry"},{"family":"Soucat","given":"Agnès"}],"issued":{"date-parts":[["2011"]]}}},{"id":22415,"uris":["http://zotero.org/users/2351503/items/YKB3L6KH"],"itemData":{"id":22415,"type":"article-journal","abstract":"To promote social justice and equity, global health research should meaningfully engage communities throughout projects: from setting agendas onwards. But communities, especially those that are considered disadvantaged or marginalised, rarely have a say in the priorities of the research projects that aim to help them. So far, there remains limited ethical guidance and resources on how to share power with communities in health research priority-setting. This paper presents an “ethical toolkit” for academic researchers and their community partners to use to design priority-setting processes that meaningfully include the communities impacted by their projects. An empirical reflective equilibrium approach was employed to develop the toolkit. Conceptual work articulated ethical considerations related to sharing power in g0l0o0bal health research priority-setting, developed guidance on how to address them, and created an initial version of the toolkit. Empirical work (51 in-depth interviews, 1 focus group, 2 case studies in India and the Philippines) conducted in 2018 and 2019 then tested those findings against information from global health research practice. The final ethical toolkit is a reflective project planning aid. It consists of 4 worksheets (Worksheet 1- Selecting Partners; Worksheet 2- Deciding to Partner; Worksheet 3- Deciding to Engage with the Wider Community; Worksheet 4- Designing Priority-setting) and a Companion Document detailing how to use them. Reflecting on and discussing the questions in Worksheets 1 to 4 before priority-setting will help deliver priority-setting processes that share power with communities and projects with research topics and questions that more accurately reflect their healthcare and system needs.","container-title":"International Journal for Equity in Health","DOI":"10.1186/s12939-021-01453-y","ISSN":"1475-9276","issue":"1","journalAbbreviation":"International Journal for Equity in Health","page":"127","source":"BioMed Central","title":"Sharing power in global health research: an ethical toolkit for designing priority-setting processes that meaningfully include communities","title-short":"Sharing power in global health research","volume":"20","author":[{"family":"Pratt","given":"Bridget"}],"issued":{"date-parts":[["2021",5,25]]}}},{"id":69,"uris":["http://zotero.org/users/2351503/items/3EJMQWG5"],"itemData":{"id":69,"type":"article-journal","abstract":"The current debate around the emergence of participatory approaches in evaluation practice suggests that participatory evaluation may be considered an organizational learning praxis, one which facilitates the development of a holistic process of intentional change. Through critical reflection on how participatory evaluation has been conceptualized, this article offers an overview of some of the contextual challenges encountered when using participatory evaluation to enable the creation of learning environments. Given the pluralistic nature of modern organizations and some contextual constraints, evaluators appear to have largely developed a more instrumental type of learning, which may, paradoxically, result in a significant source of resistance to intentional change. This article proposes a process of capacity building for evaluative research (CBER). This process offers a collaborative way of overcoming unforeseen resistance to intentional change by overcoming the challenges found in the relationship between participatory evaluation and organizational learning. The article concludes by suggesting some epistemological and organizational issues that evaluators should take into account when enabling the implementation of a process of CBER in pluralistic organizations.","container-title":"Evaluation","DOI":"10.1177/1356389009105884","ISSN":"1356-3890","issue":"3","journalAbbreviation":"Evaluation","language":"en","page":"321-342","source":"SAGE Journals","title":"Critical Connections between Participatory Evaluation, Organizational Learning and Intentional Change in Pluralistic Organizations","volume":"15","author":[{"family":"Suarez-Herrera","given":"José Carlos"},{"family":"Springett","given":"Jane"},{"family":"Kagan","given":"Carolyn"}],"issued":{"date-parts":[["2009",7,1]]}}}],"schema":"https://github.com/citation-style-language/schema/raw/master/csl-citation.json"} </w:instrText>
      </w:r>
      <w:r>
        <w:rPr>
          <w:rFonts w:ascii="Arial" w:hAnsi="Arial" w:cs="Arial"/>
          <w:sz w:val="24"/>
          <w:szCs w:val="24"/>
        </w:rPr>
        <w:fldChar w:fldCharType="separate"/>
      </w:r>
      <w:r w:rsidRPr="00E124A8">
        <w:rPr>
          <w:rFonts w:ascii="Arial" w:hAnsi="Arial" w:cs="Arial"/>
          <w:sz w:val="24"/>
          <w:szCs w:val="24"/>
        </w:rPr>
        <w:t>(Meessen et al., 2011; Pratt, 2021; Suarez-Herrera et al., 2009)</w:t>
      </w:r>
      <w:r>
        <w:rPr>
          <w:rFonts w:ascii="Arial" w:hAnsi="Arial" w:cs="Arial"/>
          <w:sz w:val="24"/>
          <w:szCs w:val="24"/>
        </w:rPr>
        <w:fldChar w:fldCharType="end"/>
      </w:r>
      <w:r>
        <w:rPr>
          <w:rFonts w:ascii="Arial" w:hAnsi="Arial" w:cs="Arial"/>
          <w:sz w:val="24"/>
          <w:szCs w:val="24"/>
        </w:rPr>
        <w:t xml:space="preserve">. </w:t>
      </w:r>
    </w:p>
    <w:p w14:paraId="5C284234" w14:textId="77777777" w:rsidR="0093626A" w:rsidRDefault="0093626A" w:rsidP="005915A7">
      <w:pPr>
        <w:spacing w:after="0" w:line="360" w:lineRule="auto"/>
        <w:jc w:val="both"/>
        <w:rPr>
          <w:rFonts w:ascii="Arial" w:hAnsi="Arial" w:cs="Arial"/>
          <w:sz w:val="24"/>
          <w:szCs w:val="24"/>
        </w:rPr>
      </w:pPr>
    </w:p>
    <w:p w14:paraId="0F80AA32" w14:textId="77777777" w:rsidR="0093626A" w:rsidRDefault="00000000" w:rsidP="00634580">
      <w:pPr>
        <w:spacing w:after="0" w:line="360" w:lineRule="auto"/>
        <w:ind w:firstLine="708"/>
        <w:jc w:val="both"/>
        <w:rPr>
          <w:rFonts w:ascii="Arial" w:hAnsi="Arial" w:cs="Arial"/>
          <w:sz w:val="24"/>
          <w:szCs w:val="24"/>
        </w:rPr>
      </w:pPr>
      <w:r>
        <w:rPr>
          <w:rFonts w:ascii="Arial" w:hAnsi="Arial" w:cs="Arial"/>
          <w:sz w:val="24"/>
          <w:szCs w:val="24"/>
        </w:rPr>
        <w:lastRenderedPageBreak/>
        <w:t xml:space="preserve">Entre los factores clave de éxito para la implementación de CEV dinámicas y productivas se pueden incluir factores motivacionales clave (como la compatibilidad de valores y un sentido de comunidad y pertenencia); la gestión de barreras al intercambio de conocimientos en línea (incluyendo factores de índole interpersonal), factores relacionados con el procedimiento y/o el uso de la tecnología, estrategias facilitadoras del intercambio de conocimientos (creación de una cultura de investigación colaborativa), la confianza personal basada en el conocimiento mutuo, intereses similares entre los miembros de la CEV y la disponibilidad de herramientas adecuadas </w:t>
      </w:r>
      <w:r>
        <w:rPr>
          <w:rFonts w:ascii="Arial" w:hAnsi="Arial" w:cs="Arial"/>
          <w:sz w:val="24"/>
          <w:szCs w:val="24"/>
        </w:rPr>
        <w:fldChar w:fldCharType="begin"/>
      </w:r>
      <w:r>
        <w:rPr>
          <w:rFonts w:ascii="Arial" w:hAnsi="Arial" w:cs="Arial"/>
          <w:sz w:val="24"/>
          <w:szCs w:val="24"/>
        </w:rPr>
        <w:instrText xml:space="preserve"> ADDIN ZOTERO_ITEM CSL_CITATION {"citationID":"J2u4iEoU","properties":{"formattedCitation":"(Ardichvili, 2008; Pyrko et al., 2017)","plainCitation":"(Ardichvili, 2008; Pyrko et al., 2017)","noteIndex":0},"citationItems":[{"id":22436,"uris":["http://zotero.org/users/2351503/items/49HZ7A58"],"itemData":{"id":22436,"type":"article-journal","abstract":"The problem and the solution . Virtual (online) communities of practice (VCoPs; when community members share and cocreate knowledge in online discussions and other forms of knowledge exchange) are increasingly viewed as important vehicles of collective learning in the workplace. Currently, factors leading to successful online knowledge sharing are not well understood. This article is based on an extensive review of online learning, knowledge management, and online communication literature, and proposes a framework for understanding motivators, barriers, and enablers for successful online knowledge sharing and learning. The framework includes key motivational factors, such as utilitarian considerations, value-based considerations, and sense of community and belonging; barriers to online knowledge sharing, including interpersonal factors, procedural and/or use of technology-related factors, and cultural norms; and enablers of VCoP knowledge sharing, including supportive organizational culture, presence of personal knowledge-based trust, and availability of adequate tools. The article concludes with specific recommendations for promoting and supporting vibrant and productive VCoPs.","container-title":"Advances in Developing Human Resources","DOI":"10.1177/1523422308319536","ISSN":"1523-4223","issue":"4","language":"en","note":"publisher: SAGE Publications","page":"541-554","source":"SAGE Journals","title":"Learning and Knowledge Sharing in Virtual Communities of Practice: Motivators, Barriers, and Enablers","title-short":"Learning and Knowledge Sharing in Virtual Communities of Practice","volume":"10","author":[{"family":"Ardichvili","given":"Alexandre"}],"issued":{"date-parts":[["2008",8,1]]}}},{"id":3436,"uris":["http://zotero.org/users/2351503/items/9ERU5SEE"],"itemData":{"id":3436,"type":"article-journal","abstract":"In this article, we develop the founding elements of the concept of Communities of Practice by elaborating on the learning processes happening at the heart of such communities. In particular, we provide a consistent perspective on the notions of knowledge, knowing and knowledge sharing that is compatible with the essence of this concept – that learning entails an investment of identity and a social formation of a person. We do so by drawing richly from the work of Michael Polanyi and his conception of personal knowledge, and thereby we clarify the scope of Communities of Practice and offer a number of new insights into how to make such social structures perform well in professional settings. The conceptual discussion is substantiated by findings of a qualitative empirical study in the UK National Health Service. As a result, the process of ‘thinking together’ is conceptualized as a key part of meaningful Communities of Practice where people mutually guide each other through their understandings of the same problems in their area of mutual interest, and this way indirectly share tacit knowledge. The collaborative learning process of ‘thinking together’, we argue, is what essentially brings Communities of Practice to life and not the other way round.","container-title":"Human Relations","DOI":"10.1177/0018726716661040","ISSN":"0018-7267","issue":"4","journalAbbreviation":"Human Relations","language":"en","page":"389-409","source":"SAGE Journals","title":"Thinking together: What makes Communities of Practice work?","title-short":"Thinking together","volume":"70","author":[{"family":"Pyrko","given":"Igor"},{"family":"Dörfler","given":"Viktor"},{"family":"Eden","given":"Colin"}],"issued":{"date-parts":[["2017",4,1]]}}}],"schema":"https://github.com/citation-style-language/schema/raw/master/csl-citation.json"} </w:instrText>
      </w:r>
      <w:r>
        <w:rPr>
          <w:rFonts w:ascii="Arial" w:hAnsi="Arial" w:cs="Arial"/>
          <w:sz w:val="24"/>
          <w:szCs w:val="24"/>
        </w:rPr>
        <w:fldChar w:fldCharType="separate"/>
      </w:r>
      <w:r>
        <w:rPr>
          <w:rFonts w:ascii="Arial" w:hAnsi="Arial" w:cs="Arial"/>
          <w:sz w:val="24"/>
          <w:szCs w:val="24"/>
        </w:rPr>
        <w:t>(Ardichvili, 2008; Pyrko et al., 2017)</w:t>
      </w:r>
      <w:r>
        <w:rPr>
          <w:rFonts w:ascii="Arial" w:hAnsi="Arial" w:cs="Arial"/>
          <w:sz w:val="24"/>
          <w:szCs w:val="24"/>
        </w:rPr>
        <w:fldChar w:fldCharType="end"/>
      </w:r>
      <w:r>
        <w:rPr>
          <w:rFonts w:ascii="Arial" w:hAnsi="Arial" w:cs="Arial"/>
          <w:color w:val="2F5496" w:themeColor="accent1" w:themeShade="BF"/>
          <w:sz w:val="24"/>
          <w:szCs w:val="24"/>
        </w:rPr>
        <w:t>.</w:t>
      </w:r>
    </w:p>
    <w:p w14:paraId="560E09D1" w14:textId="77777777" w:rsidR="0093626A" w:rsidRDefault="0093626A" w:rsidP="00634580">
      <w:pPr>
        <w:spacing w:after="0" w:line="360" w:lineRule="auto"/>
        <w:ind w:firstLine="708"/>
        <w:jc w:val="both"/>
        <w:rPr>
          <w:rFonts w:ascii="Arial" w:hAnsi="Arial" w:cs="Arial"/>
          <w:sz w:val="24"/>
          <w:szCs w:val="24"/>
        </w:rPr>
      </w:pPr>
    </w:p>
    <w:p w14:paraId="739B85F7" w14:textId="77777777" w:rsidR="0093626A" w:rsidRDefault="00000000" w:rsidP="00634580">
      <w:pPr>
        <w:spacing w:after="0" w:line="360" w:lineRule="auto"/>
        <w:ind w:firstLine="708"/>
        <w:jc w:val="both"/>
        <w:rPr>
          <w:rFonts w:ascii="Arial" w:hAnsi="Arial" w:cs="Arial"/>
          <w:sz w:val="24"/>
          <w:szCs w:val="24"/>
        </w:rPr>
      </w:pPr>
      <w:r>
        <w:rPr>
          <w:rFonts w:ascii="Arial" w:hAnsi="Arial" w:cs="Arial"/>
          <w:sz w:val="24"/>
          <w:szCs w:val="24"/>
        </w:rPr>
        <w:t xml:space="preserve">La </w:t>
      </w:r>
      <w:r>
        <w:rPr>
          <w:rFonts w:ascii="Arial" w:hAnsi="Arial" w:cs="Arial"/>
          <w:i/>
          <w:iCs/>
          <w:sz w:val="24"/>
          <w:szCs w:val="24"/>
        </w:rPr>
        <w:t>perspectiva epistemológica</w:t>
      </w:r>
      <w:r>
        <w:rPr>
          <w:rFonts w:ascii="Arial" w:hAnsi="Arial" w:cs="Arial"/>
          <w:sz w:val="24"/>
          <w:szCs w:val="24"/>
        </w:rPr>
        <w:t xml:space="preserve"> de la investigación colaborativa también experimenta mejoras sustanciales gracias a las CEV. Aquí, la continuidad del proceso de transferencia de conocimiento permitiría tener en cuenta no solo el conocimiento producido localmente, sino también los modos de aprendizaje en diferentes contextos organizacionales </w:t>
      </w:r>
      <w:r>
        <w:rPr>
          <w:rFonts w:ascii="Arial" w:hAnsi="Arial" w:cs="Arial"/>
          <w:sz w:val="24"/>
          <w:szCs w:val="24"/>
        </w:rPr>
        <w:fldChar w:fldCharType="begin"/>
      </w:r>
      <w:r>
        <w:rPr>
          <w:rFonts w:ascii="Arial" w:hAnsi="Arial" w:cs="Arial"/>
          <w:sz w:val="24"/>
          <w:szCs w:val="24"/>
        </w:rPr>
        <w:instrText xml:space="preserve"> ADDIN ZOTERO_ITEM CSL_CITATION {"citationID":"8BIBlDX0","properties":{"formattedCitation":"(Abma et al., 2017; Dalglish et al., 2015; Fletcher, 2014)","plainCitation":"(Abma et al., 2017; Dalglish et al., 2015; Fletcher, 2014)","noteIndex":0},"citationItems":[{"id":5587,"uris":["http://zotero.org/users/2351503/items/8TGSSWN9"],"itemData":{"id":5587,"type":"article-journal","abstract":"Social impact, defined as an effect on society, culture, quality of life, community services, or public policy beyond academia, is widely considered as a relevant requirement for scientific research, especially in the field of health care. Traditionally, in health research, the process of knowledge transfer is rather linear and one-sided and has not recognized and integrated the expertise of practitioners and those who use services. This can lead to discrimination or disqualification of knowledge and epistemic injustice. Epistemic injustice is a situation wherein certain kinds of knowers and knowledge are not taken seriously into account to define a situation. The purpose of our article is to explore how health researchers can achieve social impact for a wide audience, involving them in a non-linear process of joint learning on urgent problems recognized by the various stakeholders in public health. In participatory health research impact is not preordained by one group of stakeholders, but the result of a process of reflection and dialog with multiple stakeholders on what counts as valuable outcomes. This knowledge mobilization and winding pathway embarked upon during such research have the potential for impact along the way as opposed to the expectation that impact will occur merely at the end of a research project. We will discuss and illustrate the merits of taking a negotiated, discursive and flexible pathway in the area of community-based health promotion.","container-title":"Educational Action Research","DOI":"10.1080/09650792.2017.1329092","ISSN":"0965-0792","issue":"4","page":"489-505","source":"Taylor and Francis+NEJM","title":"Social impact of participatory health research: collaborative non-linear processes of knowledge mobilization","title-short":"Social impact of participatory health research","volume":"25","author":[{"family":"Abma","given":"Tineke A."},{"family":"Cook","given":"Tina"},{"family":"Rämgård","given":"Margaretha"},{"family":"Kleba","given":"Elisabeth"},{"family":"Harris","given":"Janet"},{"family":"Wallerstein","given":"Nina"}],"issued":{"date-parts":[["2017",8,8]]}}},{"id":22334,"uris":["http://zotero.org/users/2351503/items/XH8HK66Z"],"itemData":{"id":22334,"type":"article-journal","abstract":"Nearly all African countries have recently implemented some form of integrated community case management of childhood illness (iCCM), a strategy aimed at reducing child mortality by providing curative care for common yet fatal childhood illnesses. This case study describes the evolution of iCCM at the global level using the theory of epistemic communities first outlined by Haas, which explains how international policy coordination on technical issues takes place via transnational expert networks. We draw from in-depth interviews with global policy-makers (n = 25), a document review (n = 72) and co-authorship network analysis of scientific articles on iCCM. We find that members of the iCCM epistemic community were mainly mid- to upper-level technical officers working in the headquarters of large norm-setting bodies, implementing partners, funders and academic/research groups in global health. Already linked by pre-existing relationships, the epistemic community was consolidated as conflicts were overcome through structural changes in the network (including or excluding some members), changes in the state of technology or scientific evidence, shifting funding considerations, and the development of consensus through argument, legitimation and other means. Next, the epistemic community positioned iCCM as a preferred solution via three causal dynamics outlined by Haas: (1) responding to decision-makers’ uncertainty about how to reduce child mortality after previous policies proved insufficient, (2) using sophisticated analytic tools to link the problem of child mortality to iCCM as a solution and (3) gaining buy-in from major norm-setting bodies and financial and institutional support from large implementing agencies. Applying the epistemic communities framework to the iCCM case study reveals the strengths and weaknesses of a focused policy enterprise with highly specialized and homogenous disciplinary origins, allowing for efficient sharing of complex, high-level scientific information, but possibly excluding voices with relevant methodological, operational or country-level perspectives.","container-title":"Health Policy and Planning","DOI":"10.1093/heapol/czv043","ISSN":"0268-1080","issue":"suppl_2","journalAbbreviation":"Health Policy and Planning","page":"ii12-ii25","source":"Silverchair","title":"Epistemic communities in global health and the development of child survival policy: a case study of iCCM","title-short":"Epistemic communities in global health and the development of child survival policy","volume":"30","author":[{"family":"Dalglish","given":"Sarah L"},{"family":"George","given":"Asha"},{"family":"Shearer","given":"Jessica C"},{"family":"Bennett","given":"Sara"}],"issued":{"date-parts":[["2015",10,1]]}}},{"id":4090,"uris":["http://zotero.org/users/2351503/items/IB2QXCJ7"],"itemData":{"id":4090,"type":"article-journal","abstract":"Organizations comprise many social communities which arguably contribute to organizational knowledge creation. Two of these are the widely discussed community of practice and the lesser known micro-community of knowledge. Within such organizational communities collegial relationships are formed and maintained, norms and expectations learned, experiences shared, and ideas articulated and developed. The quality of collegial relations fostered by such communities, together with the importance of productive dialogue, have been identified as key components in organizations with the capability for ongoing innovation. Although communities of practice have long been recognized as contexts for both learning and the development of collegial relations, little attention has been paid to micro-communities of knowledge. Using examples from a micro-community of knowledge found in a small New Zealand-based IT company, I demonstrate the ways in which participants ‘do collegiality’ towards establishing relational engagement. An example of collegial interaction in a community of practice is provided by way of contrast. The article concludes by arguing that despite being two distinct interactional contexts, the repertoire of relational skills required and the potential for social learning through participation in these two kinds of communities renders them not only complementary, but tightly interdependent.","container-title":"Discourse &amp; Communication","DOI":"10.1177/1750481314537577","ISSN":"1750-4813","issue":"4","journalAbbreviation":"Discourse &amp; Communication","language":"en","page":"351-369","source":"SAGE Journals","title":"Social communities in a knowledge enabling organizational context: Interaction and relational engagement in a community of practice and a micro-community of knowledge","title-short":"Social communities in a knowledge enabling organizational context","volume":"8","author":[{"family":"Fletcher","given":"Jeannie"}],"issued":{"date-parts":[["2014",11,1]]}}}],"schema":"https://github.com/citation-style-language/schema/raw/master/csl-citation.json"} </w:instrText>
      </w:r>
      <w:r>
        <w:rPr>
          <w:rFonts w:ascii="Arial" w:hAnsi="Arial" w:cs="Arial"/>
          <w:sz w:val="24"/>
          <w:szCs w:val="24"/>
        </w:rPr>
        <w:fldChar w:fldCharType="separate"/>
      </w:r>
      <w:r>
        <w:rPr>
          <w:rFonts w:ascii="Arial" w:hAnsi="Arial" w:cs="Arial"/>
          <w:sz w:val="24"/>
          <w:szCs w:val="24"/>
        </w:rPr>
        <w:t>(Abma et al., 2017; Dalglish et al., 2015; Fletcher, 2014)</w:t>
      </w:r>
      <w:r>
        <w:rPr>
          <w:rFonts w:ascii="Arial" w:hAnsi="Arial" w:cs="Arial"/>
          <w:sz w:val="24"/>
          <w:szCs w:val="24"/>
        </w:rPr>
        <w:fldChar w:fldCharType="end"/>
      </w:r>
      <w:r>
        <w:rPr>
          <w:rFonts w:ascii="Arial" w:hAnsi="Arial" w:cs="Arial"/>
          <w:sz w:val="24"/>
          <w:szCs w:val="24"/>
        </w:rPr>
        <w:t xml:space="preserve">, lo que nos permitiría desarrollar el interés por la posición y las innovaciones propuestas por “otros” </w:t>
      </w:r>
      <w:r>
        <w:rPr>
          <w:rFonts w:ascii="Arial" w:hAnsi="Arial" w:cs="Arial"/>
          <w:sz w:val="24"/>
          <w:szCs w:val="24"/>
        </w:rPr>
        <w:fldChar w:fldCharType="begin"/>
      </w:r>
      <w:r>
        <w:rPr>
          <w:rFonts w:ascii="Arial" w:hAnsi="Arial" w:cs="Arial"/>
          <w:sz w:val="24"/>
          <w:szCs w:val="24"/>
        </w:rPr>
        <w:instrText xml:space="preserve"> ADDIN ZOTERO_ITEM CSL_CITATION {"citationID":"S5P1DKvX","properties":{"formattedCitation":"(Grabher &amp; Ibert, 2017; Seidel et al., 2017)","plainCitation":"(Grabher &amp; Ibert, 2017; Seidel et al., 2017)","noteIndex":0},"citationItems":[{"id":22352,"uris":["http://zotero.org/users/2351503/items/FCNW9QJL"],"itemData":{"id":22352,"type":"chapter","abstract":"This chapter is concerned with two widely shared misunderstandings related to the notion of virtual knowledge creation. First, virtual is often associated or even equated with immateriality. As a consequence, virtual knowledge collaboration is mainly seen as a viable option in digital knowledge domains but not in more traditional fields. Second, “virtual” is often understood as being derived from the “real”. Virtual interaction thus is treated as a deficient substitute for face-to-face interaction. Against this background we use data obtained from netnography undertaken in nine virtual hybrid communities to explore more systematically the material preconditions of virtual knowledge collaboration. We also specify specific benefits of distanciated relations in knowledge collaboration that so far have been understated or overlooked. Our findings demonstrate that the social cohesion of virtual communities is partly enhanced through organized forms of co-presence and that online knowledge collaboration is embedded in material offline environments. Of course, collaboration in virtual hybrid communities lacks the media richness and the entire spectrum of non-verbal cues through which face-to-face encounters ease mutual understanding. Yet distinct features of online interaction, such as quasi-anonymity, asynchronicity and virtual memory do provide unique opportunities for collaboration unattainable in classical face-to-face contexts.","container-title":"The Elgar Companion to Innovation and Knowledge Creation","ISBN":"978-1-78254-852-2","language":"en_US","note":"section: The Elgar Companion to Innovation and Knowledge Creation","page":"537-555","publisher":"Edward Elgar Publishing","source":"www.elgaronline.com","title":"Knowledge collaboration in hybrid virtual communities","URL":"https://www.elgaronline.com/display/edcoll/9781782548515/9781782548515.00044.xml","author":[{"family":"Grabher","given":"Gernot"},{"family":"Ibert","given":"Oliver"}],"accessed":{"date-parts":[["2023",6,18]]},"issued":{"date-parts":[["2017",11,24]]}}},{"id":4091,"uris":["http://zotero.org/users/2351503/items/SFE2E3EF"],"itemData":{"id":4091,"type":"article-journal","abstract":"Online community–based innovation—whether through self-organized communities, firm–community collaborations, or innovation contests and crowdsourcing—is increasingly used as a source of technological advances, yet studies in this domain are often detached from considering the dynamics of technological evolution itself. Where technological advances reside (knowledge distribution), the degree to which innovation tasks can be specified (task decomposition) and the rate of technological progress (performance trajectory) all vary dramatically over the technology life cycle. These factors have implications for what forms of online crowds and communities are most likely to contribute technological advances. We provide a dynamic model of the expected “dominant communities” for technological advances at each phase of the life cycle, and we draw on examples from open-source software and consumer three-dimensional printing to illustrate the model. Our objectives are to determine how different forms of community-based innovation dominate at different times, to ground innovation models more firmly in material technological advances, and to provide focus for future research in this domain.","container-title":"Strategic Organization","DOI":"10.1177/1476127016653726","ISSN":"1476-1270","issue":"2","journalAbbreviation":"Strategic Organization","language":"en","page":"220-241","source":"SAGE Journals","title":"Dominant communities and dominant designs: Community-based innovation in the context of the technology life cycle","title-short":"Dominant communities and dominant designs","volume":"15","author":[{"family":"Seidel","given":"Victor P"},{"family":"Langner","given":"Benedikt"},{"family":"Sims","given":"Jonathan"}],"issued":{"date-parts":[["2017",5,1]]}}}],"schema":"https://github.com/citation-style-language/schema/raw/master/csl-citation.json"} </w:instrText>
      </w:r>
      <w:r>
        <w:rPr>
          <w:rFonts w:ascii="Arial" w:hAnsi="Arial" w:cs="Arial"/>
          <w:sz w:val="24"/>
          <w:szCs w:val="24"/>
        </w:rPr>
        <w:fldChar w:fldCharType="separate"/>
      </w:r>
      <w:r>
        <w:rPr>
          <w:rFonts w:ascii="Arial" w:hAnsi="Arial" w:cs="Arial"/>
          <w:sz w:val="24"/>
          <w:szCs w:val="24"/>
        </w:rPr>
        <w:t>(Grabher &amp; Ibert, 2017; Seidel et al., 2017)</w:t>
      </w:r>
      <w:r>
        <w:rPr>
          <w:rFonts w:ascii="Arial" w:hAnsi="Arial" w:cs="Arial"/>
          <w:sz w:val="24"/>
          <w:szCs w:val="24"/>
        </w:rPr>
        <w:fldChar w:fldCharType="end"/>
      </w:r>
      <w:r>
        <w:rPr>
          <w:rFonts w:ascii="Arial" w:hAnsi="Arial" w:cs="Arial"/>
          <w:sz w:val="24"/>
          <w:szCs w:val="24"/>
        </w:rPr>
        <w:t xml:space="preserve">. </w:t>
      </w:r>
    </w:p>
    <w:p w14:paraId="306F5C47" w14:textId="77777777" w:rsidR="0093626A" w:rsidRDefault="0093626A" w:rsidP="005915A7">
      <w:pPr>
        <w:tabs>
          <w:tab w:val="left" w:pos="131"/>
          <w:tab w:val="left" w:pos="136"/>
          <w:tab w:val="left" w:pos="141"/>
        </w:tabs>
        <w:spacing w:after="0" w:line="360" w:lineRule="auto"/>
        <w:jc w:val="both"/>
        <w:rPr>
          <w:rFonts w:ascii="Arial" w:hAnsi="Arial" w:cs="Arial"/>
          <w:sz w:val="24"/>
          <w:szCs w:val="24"/>
        </w:rPr>
      </w:pPr>
    </w:p>
    <w:p w14:paraId="3B33D9E6" w14:textId="77777777" w:rsidR="0093626A" w:rsidRDefault="00000000" w:rsidP="005915A7">
      <w:pPr>
        <w:tabs>
          <w:tab w:val="left" w:pos="131"/>
          <w:tab w:val="left" w:pos="136"/>
          <w:tab w:val="left" w:pos="141"/>
        </w:tabs>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En cuanto a las barreras lingüísticas – inherentes a las colaboraciones internacionales –, estas se superan cada vez más fácilmente gracias a las herramientas de traducción disponibles actualmente en algunos sitios web. Aunque el lenguaje forma parte de las representaciones sociales de los actores involucrados y éstas no pueden ser fácilmente transpuestas por actores extranjeros en sus respectivos entornos </w:t>
      </w:r>
      <w:r>
        <w:rPr>
          <w:rFonts w:ascii="Arial" w:hAnsi="Arial" w:cs="Arial"/>
          <w:sz w:val="24"/>
          <w:szCs w:val="24"/>
        </w:rPr>
        <w:fldChar w:fldCharType="begin"/>
      </w:r>
      <w:r>
        <w:rPr>
          <w:rFonts w:ascii="Arial" w:hAnsi="Arial" w:cs="Arial"/>
          <w:sz w:val="24"/>
          <w:szCs w:val="24"/>
        </w:rPr>
        <w:instrText xml:space="preserve"> ADDIN ZOTERO_ITEM CSL_CITATION {"citationID":"QveJ8n4i","properties":{"formattedCitation":"(Miller &amp; Fox, 2001)","plainCitation":"(Miller &amp; Fox, 2001)","noteIndex":0},"citationItems":[{"id":22366,"uris":["http://zotero.org/users/2351503/items/7V6PCYXQ"],"itemData":{"id":22366,"type":"article-journal","abstract":"Early epistemology assumed that the observer (a) was independent of and distinct from the object being observed and (b) could validate objective reality in a language system called the laws of science. The authors offer something different. In arguing that knowledge is responsive to the culture in which it is embedded, they take a perspectival approach, gathering localized intentionality, context, social practices, and linguistic meaning (called ground) into the project of inquiry (called figure). Knowledge building, in other words, depends on the background and interests of the epistemic community that is generating knowledge.","container-title":"Administration &amp; Society","DOI":"10.1177/00953990122019613","ISSN":"0095-3997","issue":"6","language":"en","note":"publisher: SAGE Publications Inc","page":"668-685","source":"SAGE Journals","title":"The Epistemic Community","volume":"32","author":[{"family":"Miller","given":"Hugh T."},{"family":"Fox","given":"Charles J."}],"issued":{"date-parts":[["2001",1,1]]}}}],"schema":"https://github.com/citation-style-language/schema/raw/master/csl-citation.json"} </w:instrText>
      </w:r>
      <w:r>
        <w:rPr>
          <w:rFonts w:ascii="Arial" w:hAnsi="Arial" w:cs="Arial"/>
          <w:sz w:val="24"/>
          <w:szCs w:val="24"/>
        </w:rPr>
        <w:fldChar w:fldCharType="separate"/>
      </w:r>
      <w:r>
        <w:rPr>
          <w:rFonts w:ascii="Arial" w:hAnsi="Arial" w:cs="Arial"/>
          <w:sz w:val="24"/>
          <w:szCs w:val="24"/>
        </w:rPr>
        <w:t>(Miller &amp; Fox, 2001)</w:t>
      </w:r>
      <w:r>
        <w:rPr>
          <w:rFonts w:ascii="Arial" w:hAnsi="Arial" w:cs="Arial"/>
          <w:sz w:val="24"/>
          <w:szCs w:val="24"/>
        </w:rPr>
        <w:fldChar w:fldCharType="end"/>
      </w:r>
      <w:r>
        <w:rPr>
          <w:rFonts w:ascii="Arial" w:hAnsi="Arial" w:cs="Arial"/>
          <w:sz w:val="24"/>
          <w:szCs w:val="24"/>
        </w:rPr>
        <w:t xml:space="preserve">, las CEV – a través de la interacción continua que aportan –, facilitarían el establecimiento de un proceso de comprensión mutua y traducción interorganizacional </w:t>
      </w:r>
      <w:r>
        <w:rPr>
          <w:rFonts w:ascii="Arial" w:hAnsi="Arial" w:cs="Arial"/>
          <w:sz w:val="24"/>
          <w:szCs w:val="24"/>
        </w:rPr>
        <w:fldChar w:fldCharType="begin"/>
      </w:r>
      <w:r>
        <w:rPr>
          <w:rFonts w:ascii="Arial" w:hAnsi="Arial" w:cs="Arial"/>
          <w:sz w:val="24"/>
          <w:szCs w:val="24"/>
        </w:rPr>
        <w:instrText xml:space="preserve"> ADDIN ZOTERO_ITEM CSL_CITATION {"citationID":"PjWs7YlE","properties":{"formattedCitation":"(Cross, 2013; Fox, 2000; Lazakidou, 2012; Suarez-Herrera et al., 2013)","plainCitation":"(Cross, 2013; Fox, 2000; Lazakidou, 2012; Suarez-Herrera et al., 2013)","noteIndex":0},"citationItems":[{"id":22316,"uris":["http://zotero.org/users/2351503/items/NTPPY3SD"],"itemData":{"id":22316,"type":"article-journal","abstract":"The concept of epistemic communities – professional networks with authoritative and policy-relevant expertise – is well-known thanks to a 1992 special issue of International Organization. Over the past twenty years, the idea has gained some traction in International Relations scholarship, but has not evolved much beyond its original conceptualisation. Much of the research on epistemic communities has been limited to single case studies in articles, rather than broader comparative works, and has focused narrowly on groups of scientists. As a result, it is often assumed, erroneously, that epistemic communities are only comprised of scientists, and that the utility of the concept for understanding International Relations is quite narrow. Consequently, an otherwise promising approach to transnational networks has become somewhat marginalised over the years. This article revisits the concept of epistemic communities twenty years later and proposes specific innovations to the framework. In an increasingly globalising world, transnational actors are becoming progressively more numerous and influential. Epistemic communities are certainly at the forefront of these trends, and a better understanding of how they form and operate can give us a clear demonstration of how knowledge translates into power.","container-title":"Review of International Studies","DOI":"10.1017/S0260210512000034","ISSN":"1469-9044, 0260-2105","issue":"1","language":"en","note":"publisher: Cambridge University Press","page":"137-160","source":"Cambridge University Press","title":"Rethinking epistemic communities twenty years later","volume":"39","author":[{"family":"Cross","given":"Mai'a K. Davis"}],"issued":{"date-parts":[["2013",1]]}}},{"id":3314,"uris":["http://zotero.org/users/2351503/items/TFHTXN9D"],"itemData":{"id":3314,"type":"article-journal","abstract":"The paper discusses some of the main contributions to the theory of communities of practice (COP theory), especially as it relates to organizational learning. The paper does not attempt a full overview but concentrates on the notion of power relations. Early COP theory was formulated as part of situated learning theory, and promised to work on issues of social context and unequal power relations. Foucault’s work and actor-network theory (ANT) is introduced and forms the basis of a constructive critique of COP theory. The paper argues that COP theory and ANT can enrich each other and together make a stronger contribution to our understanding of organizational learning. Specifically, these perspectives question the value in viewing organizations as formal, canonical entities as far as learning and change are concerned.","container-title":"Journal of Management Studies","DOI":"10.1111/1467-6486.00207","ISSN":"1467-6486","issue":"6","language":"en","page":"853-868","source":"Wiley Online Library","title":"Communities Of Practice, Foucault And Actor-Network Therory","volume":"37","author":[{"family":"Fox","given":"Stephen"}],"issued":{"date-parts":[["2000",9,1]]}}},{"id":22357,"uris":["http://zotero.org/users/2351503/items/EST7IIFM"],"itemData":{"id":22357,"type":"book","abstract":"Online communities are among the most obvious manifestations of social networks based on new media technology. Facilitating ad-hoc communication and leveraging collective intelligence by matching similar or related users have become important success factors in almost every successful business plan. Researchers are just beginning to understand virtual communities and collaborations among participants currently proliferating across the world. Virtual Communities, Social Networks and Collaboration covers cutting edge research topics of utmost real-world importance in the specific domain of social networks. This volume focuses on exploring issues relating to the design, development, and outcomes from electronic groups and online communities, including: - The implications of social networking,- Understanding of how and why knowledge is shared among participants,- What leads to participation, effective collaboration, co-creation and innovation,- How organizations can better utilize the potential benefits of communities in both internal operations, marketing, and new product development.","ISBN":"978-1-4614-3634-8","language":"en","note":"Google-Books-ID: TxELcA5Bg1cC","number-of-pages":"251","publisher":"Springer Science &amp; Business Media","source":"Google Books","title":"Virtual Communities, Social Networks and Collaboration","author":[{"family":"Lazakidou","given":"Athina A."}],"issued":{"date-parts":[["2012",6,20]]}}},{"id":7192,"uris":["http://zotero.org/users/2351503/items/A6ZB5P44"],"itemData":{"id":7192,"type":"article-journal","abstract":"À la lumière des fondements conceptuels de la « théorie de l’acteur-réseau » (Callon, 1986; Latour, 2005), cet article développe une perspective innovatrice sur la pratique de la recherche participative en CSSS-CAU. Pour ce faire, nous montrerons comment certaines pratiques participatives associées à la recherche s’organisent graduellement sous forme de réseaux innovateurs de traduction des savoirs. Le cas du partenariat ARIMA, mis en oeuvre au Québec par le Centre de recherche et de partage des savoirs InterActions, servira d’illustration. La configuration partenariale de ce réseau est associée à de nombreuses traductions potentiellement transformatrices, ce qui lui donne une perspective de recherche innovatrice qui se construit dans un contexte complexe de mobilisation des savoirs intersectoriels.","container-title":"Nouvelles pratiques sociales","DOI":"https://doi.org/10.7202/1020822ar","ISSN":"0843-4468, 1703-9312","issue":"2","journalAbbreviation":"nps","language":"fr","page":"73-88","source":"www.erudit.org","title":"La recherche participative en CSSS-CAU : le cas du partenariat ARIMA comme réseau innovateur de traduction des savoirs","title-short":"La recherche participative en CSSS-CAU","volume":"25","author":[{"family":"Suarez-Herrera","given":"José Carlos"},{"family":"White","given":"Deena"},{"family":"Battaglini","given":"Alex"}],"issued":{"date-parts":[["2013"]]}}}],"schema":"https://github.com/citation-style-language/schema/raw/master/csl-citation.json"} </w:instrText>
      </w:r>
      <w:r>
        <w:rPr>
          <w:rFonts w:ascii="Arial" w:hAnsi="Arial" w:cs="Arial"/>
          <w:sz w:val="24"/>
          <w:szCs w:val="24"/>
        </w:rPr>
        <w:fldChar w:fldCharType="separate"/>
      </w:r>
      <w:r>
        <w:rPr>
          <w:rFonts w:ascii="Arial" w:hAnsi="Arial" w:cs="Arial"/>
          <w:sz w:val="24"/>
          <w:szCs w:val="24"/>
        </w:rPr>
        <w:t>(Cross, 2013; Fox, 2000; Lazakidou, 2012; Suarez-Herrera et al., 2013)</w:t>
      </w:r>
      <w:r>
        <w:rPr>
          <w:rFonts w:ascii="Arial" w:hAnsi="Arial" w:cs="Arial"/>
          <w:sz w:val="24"/>
          <w:szCs w:val="24"/>
        </w:rPr>
        <w:fldChar w:fldCharType="end"/>
      </w:r>
      <w:r>
        <w:rPr>
          <w:rFonts w:ascii="Arial" w:hAnsi="Arial" w:cs="Arial"/>
          <w:sz w:val="24"/>
          <w:szCs w:val="24"/>
        </w:rPr>
        <w:t>.</w:t>
      </w:r>
    </w:p>
    <w:p w14:paraId="4F3B18AE" w14:textId="77777777" w:rsidR="0093626A" w:rsidRDefault="0093626A" w:rsidP="005915A7">
      <w:pPr>
        <w:spacing w:after="0" w:line="360" w:lineRule="auto"/>
        <w:jc w:val="both"/>
        <w:rPr>
          <w:rFonts w:ascii="Arial" w:hAnsi="Arial" w:cs="Arial"/>
          <w:sz w:val="24"/>
          <w:szCs w:val="24"/>
        </w:rPr>
      </w:pPr>
    </w:p>
    <w:p w14:paraId="292EBA08" w14:textId="77777777" w:rsidR="0093626A" w:rsidRDefault="00000000" w:rsidP="00634580">
      <w:pPr>
        <w:spacing w:after="0" w:line="360" w:lineRule="auto"/>
        <w:ind w:firstLine="708"/>
        <w:jc w:val="both"/>
        <w:rPr>
          <w:rFonts w:ascii="Arial" w:hAnsi="Arial" w:cs="Arial"/>
          <w:sz w:val="24"/>
          <w:szCs w:val="24"/>
        </w:rPr>
      </w:pPr>
      <w:r>
        <w:rPr>
          <w:rFonts w:ascii="Arial" w:hAnsi="Arial" w:cs="Arial"/>
          <w:sz w:val="24"/>
          <w:szCs w:val="24"/>
        </w:rPr>
        <w:t xml:space="preserve">A </w:t>
      </w:r>
      <w:r>
        <w:rPr>
          <w:rFonts w:ascii="Arial" w:hAnsi="Arial" w:cs="Arial"/>
          <w:i/>
          <w:iCs/>
          <w:sz w:val="24"/>
          <w:szCs w:val="24"/>
        </w:rPr>
        <w:t>nivel ético</w:t>
      </w:r>
      <w:r>
        <w:rPr>
          <w:rFonts w:ascii="Arial" w:hAnsi="Arial" w:cs="Arial"/>
          <w:sz w:val="24"/>
          <w:szCs w:val="24"/>
        </w:rPr>
        <w:t xml:space="preserve">, los beneficios de las CEV no pasan inadvertidos. La contribución a la coproducción local de un conocimiento práctico utilizable por todas las partes interesadas es el elemento diferenciador. Al permitir una percepción renovada y una </w:t>
      </w:r>
      <w:r>
        <w:rPr>
          <w:rFonts w:ascii="Arial" w:hAnsi="Arial" w:cs="Arial"/>
          <w:sz w:val="24"/>
          <w:szCs w:val="24"/>
        </w:rPr>
        <w:lastRenderedPageBreak/>
        <w:t xml:space="preserve">comprensión más profunda de los desafíos globales, las limitaciones que éstos imponen y las oportunidades que también ofrecen, las CEV favorecen la interacción y el diálogo entre los actores locales </w:t>
      </w:r>
      <w:r>
        <w:rPr>
          <w:rFonts w:ascii="Arial" w:hAnsi="Arial" w:cs="Arial"/>
          <w:sz w:val="24"/>
          <w:szCs w:val="24"/>
        </w:rPr>
        <w:fldChar w:fldCharType="begin"/>
      </w:r>
      <w:r>
        <w:rPr>
          <w:rFonts w:ascii="Arial" w:hAnsi="Arial" w:cs="Arial"/>
          <w:sz w:val="24"/>
          <w:szCs w:val="24"/>
        </w:rPr>
        <w:instrText xml:space="preserve"> ADDIN ZOTERO_ITEM CSL_CITATION {"citationID":"eSpdmkVT","properties":{"formattedCitation":"(Kalafatis et al., 2015; Pyrko et al., 2017)","plainCitation":"(Kalafatis et al., 2015; Pyrko et al., 2017)","noteIndex":0},"citationItems":[{"id":3440,"uris":["http://zotero.org/users/2351503/items/47NPNWZ5"],"itemData":{"id":3440,"type":"article-journal","abstract":"This paper examines the dissemination of climate knowledge among Great Lakes decision-makers, especially focusing on cross-scale processes to tailor knowledge to better fit decision contexts. It employs both network analysis of those involved with documents and events intended to integrate climate change information into policy production or practice and qualitative research to understand how climate information flows among stakeholders in the water quality sector, a policy area of great importance in the Great Lakes region. It finds that the network consists of centralized regional-scale work surrounded by more dispersed specialized and local work that has developed over time. Our interviews reveal that overlaps between these scales produce more usable knowledge as potential users form their own specialized networks which operate as communities of practice that further tailor information to match particular application needs. We propose a model of this process that describes how the development of usable information works in a continuum, with each step furthering usability at the regional level. This model outlines the potential for knowledge networks and communities of practice to not only drive the use of information in particular decision contexts, but also provide a critical means to inform regional work and scale up the production of usable information about climate change.","container-title":"Global Environmental Change","DOI":"10.1016/j.gloenvcha.2015.02.007","ISSN":"0959-3780","journalAbbreviation":"Global Environmental Change","page":"30-39","source":"ScienceDirect","title":"Increasing information usability for climate adaptation: The role of knowledge networks and communities of practice","title-short":"Increasing information usability for climate adaptation","volume":"32","author":[{"family":"Kalafatis","given":"Scott E."},{"family":"Lemos","given":"Maria Carmen"},{"family":"Lo","given":"Yun-Jia"},{"family":"Frank","given":"Kenneth A."}],"issued":{"date-parts":[["2015",5,1]]}}},{"id":3436,"uris":["http://zotero.org/users/2351503/items/9ERU5SEE"],"itemData":{"id":3436,"type":"article-journal","abstract":"In this article, we develop the founding elements of the concept of Communities of Practice by elaborating on the learning processes happening at the heart of such communities. In particular, we provide a consistent perspective on the notions of knowledge, knowing and knowledge sharing that is compatible with the essence of this concept – that learning entails an investment of identity and a social formation of a person. We do so by drawing richly from the work of Michael Polanyi and his conception of personal knowledge, and thereby we clarify the scope of Communities of Practice and offer a number of new insights into how to make such social structures perform well in professional settings. The conceptual discussion is substantiated by findings of a qualitative empirical study in the UK National Health Service. As a result, the process of ‘thinking together’ is conceptualized as a key part of meaningful Communities of Practice where people mutually guide each other through their understandings of the same problems in their area of mutual interest, and this way indirectly share tacit knowledge. The collaborative learning process of ‘thinking together’, we argue, is what essentially brings Communities of Practice to life and not the other way round.","container-title":"Human Relations","DOI":"10.1177/0018726716661040","ISSN":"0018-7267","issue":"4","journalAbbreviation":"Human Relations","language":"en","page":"389-409","source":"SAGE Journals","title":"Thinking together: What makes Communities of Practice work?","title-short":"Thinking together","volume":"70","author":[{"family":"Pyrko","given":"Igor"},{"family":"Dörfler","given":"Viktor"},{"family":"Eden","given":"Colin"}],"issued":{"date-parts":[["2017",4,1]]}}}],"schema":"https://github.com/citation-style-language/schema/raw/master/csl-citation.json"} </w:instrText>
      </w:r>
      <w:r>
        <w:rPr>
          <w:rFonts w:ascii="Arial" w:hAnsi="Arial" w:cs="Arial"/>
          <w:sz w:val="24"/>
          <w:szCs w:val="24"/>
        </w:rPr>
        <w:fldChar w:fldCharType="separate"/>
      </w:r>
      <w:r>
        <w:rPr>
          <w:rFonts w:ascii="Arial" w:hAnsi="Arial" w:cs="Arial"/>
          <w:sz w:val="24"/>
          <w:szCs w:val="24"/>
        </w:rPr>
        <w:t>(Kalafatis et al., 2015; Pyrko et al., 2017)</w:t>
      </w:r>
      <w:r>
        <w:rPr>
          <w:rFonts w:ascii="Arial" w:hAnsi="Arial" w:cs="Arial"/>
          <w:sz w:val="24"/>
          <w:szCs w:val="24"/>
        </w:rPr>
        <w:fldChar w:fldCharType="end"/>
      </w:r>
      <w:r>
        <w:rPr>
          <w:rFonts w:ascii="Arial" w:hAnsi="Arial" w:cs="Arial"/>
          <w:sz w:val="24"/>
          <w:szCs w:val="24"/>
        </w:rPr>
        <w:t>.</w:t>
      </w:r>
    </w:p>
    <w:p w14:paraId="00A39130" w14:textId="77777777" w:rsidR="0093626A" w:rsidRDefault="0093626A" w:rsidP="005915A7">
      <w:pPr>
        <w:spacing w:after="0" w:line="360" w:lineRule="auto"/>
        <w:jc w:val="both"/>
        <w:rPr>
          <w:rFonts w:ascii="Arial" w:hAnsi="Arial" w:cs="Arial"/>
          <w:sz w:val="24"/>
          <w:szCs w:val="24"/>
        </w:rPr>
      </w:pPr>
    </w:p>
    <w:p w14:paraId="1E058E78" w14:textId="77777777" w:rsidR="0093626A" w:rsidRDefault="00000000" w:rsidP="00634580">
      <w:pPr>
        <w:spacing w:after="0" w:line="360" w:lineRule="auto"/>
        <w:ind w:firstLine="708"/>
        <w:jc w:val="both"/>
        <w:rPr>
          <w:rFonts w:ascii="Arial" w:hAnsi="Arial" w:cs="Arial"/>
          <w:sz w:val="24"/>
          <w:szCs w:val="24"/>
        </w:rPr>
      </w:pPr>
      <w:r>
        <w:rPr>
          <w:rFonts w:ascii="Arial" w:hAnsi="Arial" w:cs="Arial"/>
          <w:sz w:val="24"/>
          <w:szCs w:val="24"/>
        </w:rPr>
        <w:t xml:space="preserve">Este fenómeno refuerza la naturaleza política de la participación social </w:t>
      </w:r>
      <w:r>
        <w:rPr>
          <w:rFonts w:ascii="Arial" w:hAnsi="Arial" w:cs="Arial"/>
          <w:sz w:val="24"/>
          <w:szCs w:val="24"/>
        </w:rPr>
        <w:fldChar w:fldCharType="begin"/>
      </w:r>
      <w:r>
        <w:rPr>
          <w:rFonts w:ascii="Arial" w:hAnsi="Arial" w:cs="Arial"/>
          <w:sz w:val="24"/>
          <w:szCs w:val="24"/>
        </w:rPr>
        <w:instrText xml:space="preserve"> ADDIN ZOTERO_ITEM CSL_CITATION {"citationID":"30zivpmP","properties":{"formattedCitation":"(Cornwall &amp; Coelho, 2007; Stewart, 2016)","plainCitation":"(Cornwall &amp; Coelho, 2007; Stewart, 2016)","noteIndex":0},"citationItems":[{"id":2347,"uris":["http://zotero.org/users/2351503/items/VRKQZKEW"],"itemData":{"id":2347,"type":"book","abstract":"This book provides a clear and comprehensive introduction to the developments which have brought about a new, global wave of inclusiveness and democracy.  From Brazil to Bangladesh, a new form of participatory politics is springing up.    Featuring contributions detailing how such movements have worked in Latin America, Europe and Africa, the book analyzes the impact they have had on the democratic process. By opening up the political sphere in this way, the authors contend, these grassroots movements truly have created \"spaces for change\".","ISBN":"978-1-84277-553-0","language":"en","number-of-pages":"294","publisher":"Zed Books","source":"Google Books","title":"Spaces for Change?: The Politics of Citizen Participation in New Democratic Arenas","title-short":"Spaces for Change?","author":[{"family":"Cornwall","given":"Andrea"},{"family":"Coelho","given":"Vera Schatten"}],"issued":{"date-parts":[["2007",1,15]]}}},{"id":7065,"uris":["http://zotero.org/users/2351503/items/A2HY5RY6"],"itemData":{"id":7065,"type":"book","abstract":"Drawing on a detailed case study of Scotland's National Health Service, this book argues that debates about citizen participation in health systems are disproportionately dominated by techniques of invited participation. A 'system's-eye' perspective, while often well-intentioned, has blinded us to other standpoints for understanding the complex relationship between publics and their health systems.  Publics and Their Health Systems takes a 'citizen's-eye' perspective, exploring not only conventional invited participation, but also the realms of representative democracy, contentious protest politics, and the micro-level tactics used by individual citizens in their encounters with health services. The book highlights more oppositional dynamics than those which characterise much invited participation, and argues that understanding these is a crucial step towards a more inclusive and democratic health system.","ISBN":"978-1-137-46717-1","language":"en","note":"Google-Books-ID: QbHtCwAAQBAJ","number-of-pages":"163","publisher":"Springer","source":"Google Books","title":"Publics and Their Health Systems: Rethinking Participation","title-short":"Publics and Their Health Systems","author":[{"family":"Stewart","given":"Ellen"}],"issued":{"date-parts":[["2016",4,8]]}}}],"schema":"https://github.com/citation-style-language/schema/raw/master/csl-citation.json"} </w:instrText>
      </w:r>
      <w:r>
        <w:rPr>
          <w:rFonts w:ascii="Arial" w:hAnsi="Arial" w:cs="Arial"/>
          <w:sz w:val="24"/>
          <w:szCs w:val="24"/>
        </w:rPr>
        <w:fldChar w:fldCharType="separate"/>
      </w:r>
      <w:r>
        <w:rPr>
          <w:rFonts w:ascii="Arial" w:hAnsi="Arial" w:cs="Arial"/>
          <w:sz w:val="24"/>
          <w:szCs w:val="24"/>
        </w:rPr>
        <w:t>(Cornwall &amp; Coelho, 2007; Stewart, 2016)</w:t>
      </w:r>
      <w:r>
        <w:rPr>
          <w:rFonts w:ascii="Arial" w:hAnsi="Arial" w:cs="Arial"/>
          <w:sz w:val="24"/>
          <w:szCs w:val="24"/>
        </w:rPr>
        <w:fldChar w:fldCharType="end"/>
      </w:r>
      <w:r>
        <w:rPr>
          <w:rFonts w:ascii="Arial" w:hAnsi="Arial" w:cs="Arial"/>
          <w:sz w:val="24"/>
          <w:szCs w:val="24"/>
        </w:rPr>
        <w:t xml:space="preserve"> y ofrece la posibilidad de tomar la iniciativa y la responsabilidad colectiva en el inicio y la supervisión de proyectos de investigación. Al crear una comprensión contrastada de los contextos locales de acción, se proporciona una base y un acompañamiento cognitivo entre los actores implicados, trascendiendo las fronteras nacionales </w:t>
      </w:r>
      <w:r>
        <w:rPr>
          <w:rFonts w:ascii="Arial" w:hAnsi="Arial" w:cs="Arial"/>
          <w:sz w:val="24"/>
          <w:szCs w:val="24"/>
        </w:rPr>
        <w:fldChar w:fldCharType="begin"/>
      </w:r>
      <w:r>
        <w:rPr>
          <w:rFonts w:ascii="Arial" w:hAnsi="Arial" w:cs="Arial"/>
          <w:sz w:val="24"/>
          <w:szCs w:val="24"/>
        </w:rPr>
        <w:instrText xml:space="preserve"> ADDIN ZOTERO_ITEM CSL_CITATION {"citationID":"l9eYilXY","properties":{"formattedCitation":"(Besson, 2022; Pratt et al., 2018)","plainCitation":"(Besson, 2022; Pratt et al., 2018)","noteIndex":0},"citationItems":[{"id":22345,"uris":["http://zotero.org/users/2351503/items/6D86TZW5"],"itemData":{"id":22345,"type":"article-journal","abstract":"Epistemic injustice is a growing area of study for researchers and practitioners working in the field of global health. Theoretical development and empirical research on epistemic injustice are crucial for providing more nuanced understandings of the mechanisms and structures leading to the exclusion of local and marginalised groups in research and other knowledge practices. Explicit analysis of the potential role of epistemic injustice in policies and practices is currently limited with the absence of methodological starting points. This paper aims to fill this gap in the literature by providing a guide for individuals involved in the design and review of funding schemes wishing to conduct epistemic injustice analysis of their processes using a decolonial lens. Placing contemporary concerns in a wider historical, political and social context and building from the intertwined issues of coloniality of power, coloniality of knowledge and coloniality of being that systematically exclude non-Western epistemic groups, this practice paper presents a three-step decolonial approach for understanding the role and impact of epistemic injustices in global health research funding. It starts with an understanding of how power operates in setting the aim of a call for research proposals. Then, the influence of pose and gaze in the review process is analysed to highlight the presence of epistemological colonisation before discussing methods to address the current funding asymmetries by supporting new ways of being and doing focused on knowledge plurality. Expanding research on how epistemic wrongs manifest in global health funding practices will generate key insights needed to address underlying drivers of inequities within global health project conception and delivery.","container-title":"BMJ Global Health","DOI":"10.1136/bmjgh-2022-008950","ISSN":"2059-7908","issue":"4","language":"en","license":"© Author(s) (or their employer(s)) 2022. Re-use permitted under CC BY-NC. No commercial re-use. See rights and permissions. Published by BMJ.. http://creativecommons.org/licenses/by-nc/4.0/This is an open access article distributed in accordance with the Creative Commons Attribution Non Commercial (CC BY-NC 4.0) license, which permits others to distribute, remix, adapt, build upon this work non-commercially, and license their derivative works on different terms, provided the original work is properly cited, appropriate credit is given, any changes made indicated, and the use is non-commercial. See: http://creativecommons.org/licenses/by-nc/4.0/.","note":"publisher: BMJ Specialist Journals\nsection: Practice\nPMID: 35470130","page":"e008950","source":"gh.bmj.com","title":"How to identify epistemic injustice in global health research funding practices: a decolonial guide","title-short":"How to identify epistemic injustice in global health research funding practices","volume":"7","author":[{"family":"Besson","given":"Emilie S. Koum"}],"issued":{"date-parts":[["2022",4,1]]}}},{"id":8919,"uris":["http://zotero.org/users/2351503/items/UTXSKGPG"],"itemData":{"id":8919,"type":"article-journal","abstract":"Thus far, little work in bioethics has specifically focused on global health research priority-setting. Yet features of global health research priority-setting raise ethical considerations and concerns related to health justice. For example, such processes are often exclusively disease-driven, meaning they rely heavily on burden of disease considerations. They, therefore, tend to undervalue non-biomedical research topics, which have been identified as essential to helping reduce health disparities. In recognition of these ethical concerns and the limited scholarship and dialogue addressing them, we convened an international workshop in September 2015. The workshop aimed to initiate discussion on the appropriate relationship between global and national levels of health research priority-setting and to begin exploring what might be ethically required for priority-setting at each of those levels.","container-title":"BMC Medical Ethics","DOI":"10.1186/s12910-018-0333-y","ISSN":"1472-6939","issue":"1","journalAbbreviation":"BMC Medical Ethics","page":"94","source":"BioMed Central","title":"Exploring the ethics of global health research priority-setting","volume":"19","author":[{"family":"Pratt","given":"Bridget"},{"family":"Sheehan","given":"Mark"},{"family":"Barsdorf","given":"Nicola"},{"family":"Hyder","given":"Adnan A."}],"issued":{"date-parts":[["2018",12,6]]}}}],"schema":"https://github.com/citation-style-language/schema/raw/master/csl-citation.json"} </w:instrText>
      </w:r>
      <w:r>
        <w:rPr>
          <w:rFonts w:ascii="Arial" w:hAnsi="Arial" w:cs="Arial"/>
          <w:sz w:val="24"/>
          <w:szCs w:val="24"/>
        </w:rPr>
        <w:fldChar w:fldCharType="separate"/>
      </w:r>
      <w:r>
        <w:rPr>
          <w:rFonts w:ascii="Arial" w:hAnsi="Arial" w:cs="Arial"/>
          <w:sz w:val="24"/>
          <w:szCs w:val="24"/>
        </w:rPr>
        <w:t>(Besson, 2022; Pratt et al., 2018)</w:t>
      </w:r>
      <w:r>
        <w:rPr>
          <w:rFonts w:ascii="Arial" w:hAnsi="Arial" w:cs="Arial"/>
          <w:sz w:val="24"/>
          <w:szCs w:val="24"/>
        </w:rPr>
        <w:fldChar w:fldCharType="end"/>
      </w:r>
      <w:r>
        <w:rPr>
          <w:rFonts w:ascii="Arial" w:hAnsi="Arial" w:cs="Arial"/>
          <w:sz w:val="24"/>
          <w:szCs w:val="24"/>
        </w:rPr>
        <w:t>.</w:t>
      </w:r>
    </w:p>
    <w:p w14:paraId="563755A1" w14:textId="77777777" w:rsidR="0093626A" w:rsidRDefault="0093626A" w:rsidP="005915A7">
      <w:pPr>
        <w:spacing w:after="0" w:line="360" w:lineRule="auto"/>
        <w:jc w:val="both"/>
        <w:rPr>
          <w:rFonts w:ascii="Arial" w:hAnsi="Arial" w:cs="Arial"/>
          <w:sz w:val="24"/>
          <w:szCs w:val="24"/>
        </w:rPr>
      </w:pPr>
    </w:p>
    <w:p w14:paraId="23DCE422" w14:textId="77777777" w:rsidR="0093626A" w:rsidRDefault="00000000" w:rsidP="00634580">
      <w:pPr>
        <w:spacing w:after="0" w:line="360" w:lineRule="auto"/>
        <w:ind w:firstLine="708"/>
        <w:jc w:val="both"/>
        <w:rPr>
          <w:rFonts w:ascii="Arial" w:hAnsi="Arial" w:cs="Arial"/>
          <w:sz w:val="24"/>
          <w:szCs w:val="24"/>
        </w:rPr>
      </w:pPr>
      <w:r>
        <w:rPr>
          <w:rFonts w:ascii="Arial" w:hAnsi="Arial" w:cs="Arial"/>
          <w:sz w:val="24"/>
          <w:szCs w:val="24"/>
        </w:rPr>
        <w:t xml:space="preserve">Las comunidades epistémicas contribuyen a la transparencia de la acción y al desarrollo de inferencias y expectativas comunes, contribuyendo así a la coordinación de las políticas </w:t>
      </w:r>
      <w:r>
        <w:rPr>
          <w:rFonts w:ascii="Arial" w:hAnsi="Arial" w:cs="Arial"/>
          <w:sz w:val="24"/>
          <w:szCs w:val="24"/>
        </w:rPr>
        <w:fldChar w:fldCharType="begin"/>
      </w:r>
      <w:r>
        <w:rPr>
          <w:rFonts w:ascii="Arial" w:hAnsi="Arial" w:cs="Arial"/>
          <w:sz w:val="24"/>
          <w:szCs w:val="24"/>
        </w:rPr>
        <w:instrText xml:space="preserve"> ADDIN ZOTERO_ITEM CSL_CITATION {"citationID":"Cz6AdH4i","properties":{"formattedCitation":"(Adler &amp; Haas, 1992; Contu, 2014)","plainCitation":"(Adler &amp; Haas, 1992; Contu, 2014)","noteIndex":0},"citationItems":[{"id":22325,"uris":["http://zotero.org/users/2351503/items/MPMVVKHD"],"itemData":{"id":22325,"type":"article-journal","abstract":"Studies in this issue show that the epistemic communities approach amounts to a progressive research program with which students of world politics can empirically study the role of reason and ideas in international relations. By focusing on epistemic communities, analysts may better understand how states come to recognize interests under conditions of uncertainty. According to this research program, international relations can be seen as an evolutionary process in which epistemic communities play meaningful roles as sources of policy innovation, channels by which these innovations diffuse internationally, and catalysts in the political and institutional processes leading to the selection of their shared goals. The influence of epistemic communities persists mainly through the institutions that they help create and inform with their preferred world vision. By elucidating the cause-and-effect understandings in the particular issue-area and familiarizing policymakers with the reasoning processes by which decisions are made elsewhere, epistemic communities contribute to the transparency of action and the development of common inferences and expectations and thereby contribute to policy coordination. International cooperation and, indeed, the development of new world orders based on common meanings and understandings may thus depend on the extent to which nation-states apply their power on behalf of practices that epistemic communities may have helped create, diffuse, and perpetuate.","container-title":"International Organization","DOI":"10.1017/S0020818300001533","ISSN":"1531-5088, 0020-8183","issue":"1","language":"en","note":"publisher: Cambridge University Press","page":"367-390","source":"Cambridge University Press","title":"Conclusion: epistemic communities, world order, and the creation of a reflective research program","title-short":"Conclusion","volume":"46","author":[{"family":"Adler","given":"Emanuel"},{"family":"Haas","given":"Peter M."}],"issued":{"date-parts":[["1992",1]]}}},{"id":3290,"uris":["http://zotero.org/users/2351503/items/EZQPZFSD"],"itemData":{"id":3290,"type":"article-journal","abstract":"Tensions and struggles are a usual occurrence when knowledge ‘to get the job done’ needs to be produced at the boundaries of different disciplines and skills. Yet, power struggles have been often overlooked, and a deeper understanding of power dynamics in, and between, communities of practice is needed. An ethnographic study of the work practices of a digital media agency is utilised as a basis for the conceptual work of addressing tensions and struggles evident in creative design work. The approach developed here reactivates the critical and relational perspectives of communities of practice theory rearticulating it with the insights of Laclau and Mouffe’s site ontology. This study offers a transformative redefinition of communities of practice’s existing theoretical kit. It also shows how creative abrasions are situated in the broader politics of management and organisation of creative design work.","container-title":"Management Learning","DOI":"10.1177/1350507612471926","ISSN":"1350-5076","issue":"3","journalAbbreviation":"Management Learning","language":"en","page":"289-316","source":"SAGE Journals","title":"On boundaries and difference: Communities of practice and power relations in creative work","title-short":"On boundaries and difference","volume":"45","author":[{"family":"Contu","given":"Alessia"}],"issued":{"date-parts":[["2014",7,1]]}}}],"schema":"https://github.com/citation-style-language/schema/raw/master/csl-citation.json"} </w:instrText>
      </w:r>
      <w:r>
        <w:rPr>
          <w:rFonts w:ascii="Arial" w:hAnsi="Arial" w:cs="Arial"/>
          <w:sz w:val="24"/>
          <w:szCs w:val="24"/>
        </w:rPr>
        <w:fldChar w:fldCharType="separate"/>
      </w:r>
      <w:r>
        <w:rPr>
          <w:rFonts w:ascii="Arial" w:hAnsi="Arial" w:cs="Arial"/>
          <w:sz w:val="24"/>
          <w:szCs w:val="24"/>
        </w:rPr>
        <w:t>(Adler &amp; Haas, 1992; Contu, 2014)</w:t>
      </w:r>
      <w:r>
        <w:rPr>
          <w:rFonts w:ascii="Arial" w:hAnsi="Arial" w:cs="Arial"/>
          <w:sz w:val="24"/>
          <w:szCs w:val="24"/>
        </w:rPr>
        <w:fldChar w:fldCharType="end"/>
      </w:r>
      <w:r>
        <w:rPr>
          <w:rFonts w:ascii="Arial" w:hAnsi="Arial" w:cs="Arial"/>
          <w:sz w:val="24"/>
          <w:szCs w:val="24"/>
        </w:rPr>
        <w:t xml:space="preserve">. El desarrollo de redes transnacionales de investigación colaborativa, basadas en significados y entendimientos comunes pueden depender, por tanto, de la medida en que el campo de la Salud Global aplique su poder de acción en nombre de prácticas que las CEV pueden haber ayudado a crear, difundir y continuar en el tiempo </w:t>
      </w:r>
      <w:r>
        <w:rPr>
          <w:rFonts w:ascii="Arial" w:hAnsi="Arial" w:cs="Arial"/>
          <w:sz w:val="24"/>
          <w:szCs w:val="24"/>
        </w:rPr>
        <w:fldChar w:fldCharType="begin"/>
      </w:r>
      <w:r>
        <w:rPr>
          <w:rFonts w:ascii="Arial" w:hAnsi="Arial" w:cs="Arial"/>
          <w:sz w:val="24"/>
          <w:szCs w:val="24"/>
        </w:rPr>
        <w:instrText xml:space="preserve"> ADDIN ZOTERO_ITEM CSL_CITATION {"citationID":"12pqCWdV","properties":{"formattedCitation":"(Besson, 2022; Cross, 2013; Hanefeld &amp; Walt, 2015; Wagner et al., 2019)","plainCitation":"(Besson, 2022; Cross, 2013; Hanefeld &amp; Walt, 2015; Wagner et al., 2019)","noteIndex":0},"citationItems":[{"id":22345,"uris":["http://zotero.org/users/2351503/items/6D86TZW5"],"itemData":{"id":22345,"type":"article-journal","abstract":"Epistemic injustice is a growing area of study for researchers and practitioners working in the field of global health. Theoretical development and empirical research on epistemic injustice are crucial for providing more nuanced understandings of the mechanisms and structures leading to the exclusion of local and marginalised groups in research and other knowledge practices. Explicit analysis of the potential role of epistemic injustice in policies and practices is currently limited with the absence of methodological starting points. This paper aims to fill this gap in the literature by providing a guide for individuals involved in the design and review of funding schemes wishing to conduct epistemic injustice analysis of their processes using a decolonial lens. Placing contemporary concerns in a wider historical, political and social context and building from the intertwined issues of coloniality of power, coloniality of knowledge and coloniality of being that systematically exclude non-Western epistemic groups, this practice paper presents a three-step decolonial approach for understanding the role and impact of epistemic injustices in global health research funding. It starts with an understanding of how power operates in setting the aim of a call for research proposals. Then, the influence of pose and gaze in the review process is analysed to highlight the presence of epistemological colonisation before discussing methods to address the current funding asymmetries by supporting new ways of being and doing focused on knowledge plurality. Expanding research on how epistemic wrongs manifest in global health funding practices will generate key insights needed to address underlying drivers of inequities within global health project conception and delivery.","container-title":"BMJ Global Health","DOI":"10.1136/bmjgh-2022-008950","ISSN":"2059-7908","issue":"4","language":"en","license":"© Author(s) (or their employer(s)) 2022. Re-use permitted under CC BY-NC. No commercial re-use. See rights and permissions. Published by BMJ.. http://creativecommons.org/licenses/by-nc/4.0/This is an open access article distributed in accordance with the Creative Commons Attribution Non Commercial (CC BY-NC 4.0) license, which permits others to distribute, remix, adapt, build upon this work non-commercially, and license their derivative works on different terms, provided the original work is properly cited, appropriate credit is given, any changes made indicated, and the use is non-commercial. See: http://creativecommons.org/licenses/by-nc/4.0/.","note":"publisher: BMJ Specialist Journals\nsection: Practice\nPMID: 35470130","page":"e008950","source":"gh.bmj.com","title":"How to identify epistemic injustice in global health research funding practices: a decolonial guide","title-short":"How to identify epistemic injustice in global health research funding practices","volume":"7","author":[{"family":"Besson","given":"Emilie S. Koum"}],"issued":{"date-parts":[["2022",4,1]]}}},{"id":22316,"uris":["http://zotero.org/users/2351503/items/NTPPY3SD"],"itemData":{"id":22316,"type":"article-journal","abstract":"The concept of epistemic communities – professional networks with authoritative and policy-relevant expertise – is well-known thanks to a 1992 special issue of International Organization. Over the past twenty years, the idea has gained some traction in International Relations scholarship, but has not evolved much beyond its original conceptualisation. Much of the research on epistemic communities has been limited to single case studies in articles, rather than broader comparative works, and has focused narrowly on groups of scientists. As a result, it is often assumed, erroneously, that epistemic communities are only comprised of scientists, and that the utility of the concept for understanding International Relations is quite narrow. Consequently, an otherwise promising approach to transnational networks has become somewhat marginalised over the years. This article revisits the concept of epistemic communities twenty years later and proposes specific innovations to the framework. In an increasingly globalising world, transnational actors are becoming progressively more numerous and influential. Epistemic communities are certainly at the forefront of these trends, and a better understanding of how they form and operate can give us a clear demonstration of how knowledge translates into power.","container-title":"Review of International Studies","DOI":"10.1017/S0260210512000034","ISSN":"1469-9044, 0260-2105","issue":"1","language":"en","note":"publisher: Cambridge University Press","page":"137-160","source":"Cambridge University Press","title":"Rethinking epistemic communities twenty years later","volume":"39","author":[{"family":"Cross","given":"Mai'a K. Davis"}],"issued":{"date-parts":[["2013",1]]}}},{"id":2744,"uris":["http://zotero.org/users/2351503/items/B2WFJFUK"],"itemData":{"id":2744,"type":"article-journal","abstract":"Shiffman rightly raises questions about who exercises power in global health, suggesting power is a complex concept, and the way it is exercised is often opaque. Power that is not based on financial strength but on knowledge or experience, is difficult to estimate, and yet it may provide the legitimacy to make moral claims on what is, or ought to be, on global health agendas. Twenty years ago power was exercised in a much less complex health environment. The World Health Organization (WHO) was able to exert its authority as world health leader. The landscape today is very different. Financial resources for global health are being competed for by diverse organisations, and power is diffused and somewhat hidden in such a climate, where each organization has to establish and make its own moral claims loudly and publicly. We observe two ways which allow actors to capture moral authority in global health. One, through power based on scientific knowledge and two, through procedures in the policy process, most commonly associated with the notion of broad consultation and participation. We discuss these drawing on one particular framework provided by Bourdieu, who analyses the source of actor power by focusing on different sorts of capital. Different approaches or theories to understanding power will go some way to answering the challenge Shiffman throws to health policy analysts. We need to explore much more fully where power lies in global health, and how it is exercised in order to understand underlying health agendas and claims to legitimacy made by global health actors today.","container-title":"International Journal of Health Policy and Management","DOI":"10.15171/ijhpm.2015.25","ISSN":"2322-5939","issue":"2","journalAbbreviation":"Int J Health Policy Manag","note":"PMID: 25674577\nPMCID: PMC4322625","page":"119-121","source":"PubMed Central","title":"Knowledge and networks – key sources of power in global health","volume":"4","author":[{"family":"Hanefeld","given":"Johanna"},{"family":"Walt","given":"Gill"}],"issued":{"date-parts":[["2015",2,5]]}}},{"id":22420,"uris":["http://zotero.org/users/2351503/items/VXMFWT9A"],"itemData":{"id":22420,"type":"article-journal","abstract":"The aim of the paper is to propose a rethinking of the concept of epistemic communities in terms of their application in the discursive analysis of the field of healthcare. In the first part of the article, authors describe healthcare in the light of Pierre Bourdieu’s theory, and then the knowledge-power relations are presented in the discourses in the field. It serves to propose a relational approach to the various discursive actions generated by the three groups—epistemic communities, communities of practice and interest groups which are distinguished analytically from each other. Authors conclude by illustrating a possible way of operationalization of the proposed categories using the examples of discursive actions in the healthcare field in Poland.","container-title":"Social Theory &amp; Health","DOI":"10.1057/s41285-018-0073-6","ISSN":"1477-822X","issue":"2","journalAbbreviation":"Soc Theory Health","language":"en","page":"192-212","source":"Springer Link","title":"Who defines–who decides? Theorising the epistemic communities, communities of practice and interest groups in the healthcare field: a discursive approach","title-short":"Who defines–who decides?","volume":"17","author":[{"family":"Wagner","given":"Aleksandra"},{"family":"Polak","given":"Paulina"},{"family":"Świątkiewicz-Mośny","given":"Maria"}],"issued":{"date-parts":[["2019",6,1]]}}}],"schema":"https://github.com/citation-style-language/schema/raw/master/csl-citation.json"} </w:instrText>
      </w:r>
      <w:r>
        <w:rPr>
          <w:rFonts w:ascii="Arial" w:hAnsi="Arial" w:cs="Arial"/>
          <w:sz w:val="24"/>
          <w:szCs w:val="24"/>
        </w:rPr>
        <w:fldChar w:fldCharType="separate"/>
      </w:r>
      <w:r>
        <w:rPr>
          <w:rFonts w:ascii="Arial" w:hAnsi="Arial" w:cs="Arial"/>
          <w:sz w:val="24"/>
          <w:szCs w:val="24"/>
        </w:rPr>
        <w:t>(Besson, 2022; Cross, 2013; Hanefeld &amp; Walt, 2015; Wagner et al., 2019)</w:t>
      </w:r>
      <w:r>
        <w:rPr>
          <w:rFonts w:ascii="Arial" w:hAnsi="Arial" w:cs="Arial"/>
          <w:sz w:val="24"/>
          <w:szCs w:val="24"/>
        </w:rPr>
        <w:fldChar w:fldCharType="end"/>
      </w:r>
      <w:r>
        <w:rPr>
          <w:rFonts w:ascii="Arial" w:hAnsi="Arial" w:cs="Arial"/>
          <w:sz w:val="24"/>
          <w:szCs w:val="24"/>
        </w:rPr>
        <w:t>.</w:t>
      </w:r>
    </w:p>
    <w:p w14:paraId="6C28B807" w14:textId="67D820FE" w:rsidR="0093626A" w:rsidRPr="00634580" w:rsidRDefault="00000000" w:rsidP="005915A7">
      <w:pPr>
        <w:pStyle w:val="Ttulo1"/>
        <w:spacing w:before="120" w:after="120" w:line="360" w:lineRule="auto"/>
        <w:jc w:val="both"/>
        <w:rPr>
          <w:rFonts w:ascii="Arial" w:hAnsi="Arial" w:cs="Arial"/>
          <w:b/>
          <w:bCs/>
          <w:color w:val="auto"/>
          <w:sz w:val="24"/>
          <w:szCs w:val="24"/>
        </w:rPr>
      </w:pPr>
      <w:r w:rsidRPr="00634580">
        <w:rPr>
          <w:rFonts w:ascii="Arial" w:hAnsi="Arial" w:cs="Arial"/>
          <w:b/>
          <w:bCs/>
          <w:color w:val="auto"/>
          <w:sz w:val="24"/>
          <w:szCs w:val="24"/>
          <w:lang w:val="es-MX"/>
        </w:rPr>
        <w:t>C</w:t>
      </w:r>
      <w:r w:rsidRPr="00634580">
        <w:rPr>
          <w:rFonts w:ascii="Arial" w:hAnsi="Arial" w:cs="Arial"/>
          <w:b/>
          <w:bCs/>
          <w:color w:val="auto"/>
          <w:sz w:val="24"/>
          <w:szCs w:val="24"/>
        </w:rPr>
        <w:t>onclusión</w:t>
      </w:r>
    </w:p>
    <w:p w14:paraId="7128CFEA" w14:textId="77777777" w:rsidR="0093626A" w:rsidRDefault="00000000" w:rsidP="005915A7">
      <w:pPr>
        <w:spacing w:after="0" w:line="360" w:lineRule="auto"/>
        <w:jc w:val="both"/>
        <w:rPr>
          <w:rFonts w:ascii="Arial" w:hAnsi="Arial" w:cs="Arial"/>
          <w:sz w:val="24"/>
          <w:szCs w:val="24"/>
        </w:rPr>
      </w:pPr>
      <w:r>
        <w:rPr>
          <w:rFonts w:ascii="Arial" w:hAnsi="Arial" w:cs="Arial"/>
          <w:sz w:val="24"/>
          <w:szCs w:val="24"/>
        </w:rPr>
        <w:t xml:space="preserve">El discurso y la práctica campo de la Salud Global se centran en la capacidad colectiva para reorganizar la respuesta internacional y crear políticas de salud pública a través de redes organizadas a nivel regional, nacional e internacional </w:t>
      </w:r>
      <w:r>
        <w:rPr>
          <w:rFonts w:ascii="Arial" w:hAnsi="Arial" w:cs="Arial"/>
          <w:sz w:val="24"/>
          <w:szCs w:val="24"/>
        </w:rPr>
        <w:fldChar w:fldCharType="begin"/>
      </w:r>
      <w:r>
        <w:rPr>
          <w:rFonts w:ascii="Arial" w:hAnsi="Arial" w:cs="Arial"/>
          <w:sz w:val="24"/>
          <w:szCs w:val="24"/>
        </w:rPr>
        <w:instrText xml:space="preserve"> ADDIN ZOTERO_ITEM CSL_CITATION {"citationID":"3NH49Dmq","properties":{"formattedCitation":"(Maleka et al., 2019; Shiffman et al., 2016; Suarez-Herrera et al., 2021)","plainCitation":"(Maleka et al., 2019; Shiffman et al., 2016; Suarez-Herrera et al., 2021)","noteIndex":0},"citationItems":[{"id":222,"uris":["http://zotero.org/users/2351503/items/7IZIG8AS"],"itemData":{"id":222,"type":"article-journal","abstract":"Background: Global health research partnerships, which promote the exchange of ideas, knowledge and expertise across countries, are considered key to addressing complex challenges facing health systems. Yet, many studies report inequalities in these partnerships, particularly in those between high and low-and-middle-income countries (LMICs).Objective: This paper examines global research collaborations on community health worker (CHW) programmes, specifically analysing the structures of authorship teams and networks in publications reporting research on CHW programmes in low-income countries (LICs).Methods: A sub-set of 206 indexed journal articles reporting on CHW programmes in LICs was purposefully selected from a prior review of research authorship on CHW programmes in all LMICs over a five year period (2012–2016). Data on country and primary organisational affiliation and number of publications for all individual authors, programme area (e.g. maternal child health) and total citations per paper were extracted and coded in excel spreadsheets. Data were then exported and analysed in Stata/ICV.14 and Gephi.Results: The 206 papers were authored by 1045 authors from 299 institutions, based in 43 countries. Half (50.1%) the authors came from LIC-based institutions, 43.8% from high-income country (HIC) institutions, 2.9% from middle-income country (MIC) institutions and 3.2% had different first affiliations in different publications. Authors based in the USA (302) and UK (68) accounted for just over a third (35.4%) of all authors. Partnership patterns revealed a primary mode of North–South collaboration with authors from the US, and to a lesser extent the UK, playing central bridging roles between institutions. Strong network clusters of multiple-affiliated authors were evident in research on MCH and HIV/TB aspects of CHW programmes.Conclusion: Knowledge production on CHW programmes in LICs flows predominantly through a pool of connected HIC authors and North–South collaborations. There is a need for strategies harnessing more diverse, including South–South, forms of partnership.","container-title":"Global Health Action","DOI":"10.1080/16549716.2019.1606570","ISSN":"1654-9716","issue":"1","note":"PMID: 31066343","page":"1606570","source":"Taylor and Francis+NEJM","title":"Research collaboration on community health worker programmes in low-income countries: an analysis of authorship teams and networks","title-short":"Research collaboration on community health worker programmes in low-income countries","volume":"12","author":[{"family":"Maleka","given":"Elma Nelisiwe"},{"family":"Currie","given":"Paul"},{"family":"Schneider","given":"Helen"}],"issued":{"date-parts":[["2019",1,1]]}}},{"id":3508,"uris":["http://zotero.org/users/2351503/items/TTIH2WBD"],"itemData":{"id":3508,"type":"article-journal","abstract":"Global health issues vary in the amount of attention and resources they receive. One reason is that the networks of individuals and organizations that address these issues differ in their effectiveness. This article presents key findings from a research project on the emergence and effectiveness of global health networks addressing tobacco use, alcohol harm, maternal mortality, neonatal mortality, tuberculosis and pneumonia. Although networks are only one of many factors influencing priority, they do matter, particularly for shaping the way the problem and solutions are understood, and convincing governments, international organizations and other global actors to address the issue. Their national-level effects vary by issue and are more difficult to ascertain. Networks are most likely to produce effects when (1) their members construct a compelling framing of the issue, one that includes a shared understanding of the problem, a consensus on solutions and convincing reasons to act and (2) they build a political coalition that includes individuals and organizations beyond their traditional base in the health sector, a task that demands engagement in the politics of the issue, not just its technical aspects. Maintaining a focused frame and sustaining a broad coalition are often in tension: effective networks find ways to balance the two challenges. The emergence and effectiveness of a network are shaped both by its members' decisions and by contextual factors, including historical influences (e.g. prior failed attempts to address the problem), features of the policy environment (e.g. global development goals) and characteristics of the issue the network addresses (e.g. its mortality burden). Their proliferation raises the issue of their legitimacy. Reasons to consider them legitimate include their members' expertise and the attention they bring to neglected issues. Reasons to question their legitimacy include their largely elite composition and the fragmentation they bring to global health governance.","container-title":"Health Policy and Planning","DOI":"10.1093/heapol/czw012","ISSN":"1460-2237","journalAbbreviation":"Health Policy Plan","language":"eng","note":"PMID: 27067141\nPMCID: PMC4954561","page":"i110-123","source":"PubMed","title":"The emergence and effectiveness of global health networks: findings and future research","title-short":"The emergence and effectiveness of global health networks","volume":"31 Suppl 1","author":[{"family":"Shiffman","given":"Jeremy"},{"family":"Schmitz","given":"Hans Peter"},{"fami</w:instrText>
      </w:r>
      <w:r>
        <w:rPr>
          <w:rFonts w:ascii="Arial" w:hAnsi="Arial" w:cs="Arial"/>
          <w:sz w:val="24"/>
          <w:szCs w:val="24"/>
          <w:lang w:val="fr-FR"/>
        </w:rPr>
        <w:instrText xml:space="preserve">ly":"Berlan","given":"David"},{"family":"Smith","given":"Stephanie L."},{"family":"Quissell","given":"Kathryn"},{"family":"Gneiting","given":"Uwe"},{"family":"Pelletier","given":"David"}],"issued":{"date-parts":[["2016",4]]}}},{"id":245,"uris":["http://zotero.org/users/2351503/items/2FXSLGMS"],"itemData":{"id":245,"type":"chapter","abstract":"In the face of the complexity of today's global health challenges, the international public health policies proposed by the World Health Organisation (WHO)\ngradually integrate certain strategies that were not considered in Alma Ata, such as the measurement of the health impacts of the global recession and globalisation, the need for people-centred approaches to sustainable development, a strong commitment to ethical principles of health equity, and a broad use of strategic partnerships for health at global, national and local levels (Buss, 2020; Kickbusch, 2016).","container-title":"Epidemiología del desarrollo sostenible","event-place":"Córdoba (Argentina)","page":"179-214","publisher":"Creative Commons de Acceso Abierto","publisher-place":"Córdoba (Argentina)","title":"Alianzas estratégicas en Salud Global: perspectivas innovadoras para una Epidemiología del Desarrollo Sostenible","author":[{"family":"Suarez-Herrera","given":"J.C."},{"family":"Marques da Cruz","given":"M."},{"family":"Hartz","given":"Z."}],"issued":{"date-parts":[["2021"]]}}}],"schema":"https://github.com/citation-style-language/schema/raw/master/csl-citation.json"} </w:instrText>
      </w:r>
      <w:r>
        <w:rPr>
          <w:rFonts w:ascii="Arial" w:hAnsi="Arial" w:cs="Arial"/>
          <w:sz w:val="24"/>
          <w:szCs w:val="24"/>
        </w:rPr>
        <w:fldChar w:fldCharType="separate"/>
      </w:r>
      <w:r>
        <w:rPr>
          <w:rFonts w:ascii="Arial" w:hAnsi="Arial" w:cs="Arial"/>
          <w:sz w:val="24"/>
          <w:szCs w:val="24"/>
          <w:lang w:val="fr-FR"/>
        </w:rPr>
        <w:t>(Maleka et al., 2019; Shiffman et al., 2016; Suarez-Herrera et al., 2021)</w:t>
      </w:r>
      <w:r>
        <w:rPr>
          <w:rFonts w:ascii="Arial" w:hAnsi="Arial" w:cs="Arial"/>
          <w:sz w:val="24"/>
          <w:szCs w:val="24"/>
        </w:rPr>
        <w:fldChar w:fldCharType="end"/>
      </w:r>
      <w:r>
        <w:rPr>
          <w:rFonts w:ascii="Arial" w:hAnsi="Arial" w:cs="Arial"/>
          <w:sz w:val="24"/>
          <w:szCs w:val="24"/>
          <w:lang w:val="fr-FR"/>
        </w:rPr>
        <w:t xml:space="preserve">. </w:t>
      </w:r>
      <w:r>
        <w:rPr>
          <w:rFonts w:ascii="Arial" w:hAnsi="Arial" w:cs="Arial"/>
          <w:sz w:val="24"/>
          <w:szCs w:val="24"/>
        </w:rPr>
        <w:t xml:space="preserve">La articulación de prácticas de investigación colaborativa en Salud Global entre los niveles global y local no es sólo un imperativo pragmático, sino también ético, dado el impacto significativo de las crisis relacionadas con la globalización en la salud de las poblaciones </w:t>
      </w:r>
      <w:r>
        <w:rPr>
          <w:rFonts w:ascii="Arial" w:hAnsi="Arial" w:cs="Arial"/>
          <w:sz w:val="24"/>
          <w:szCs w:val="24"/>
        </w:rPr>
        <w:fldChar w:fldCharType="begin"/>
      </w:r>
      <w:r>
        <w:rPr>
          <w:rFonts w:ascii="Arial" w:hAnsi="Arial" w:cs="Arial"/>
          <w:sz w:val="24"/>
          <w:szCs w:val="24"/>
        </w:rPr>
        <w:instrText xml:space="preserve"> ADDIN ZOTERO_ITEM CSL_CITATION {"citationID":"xRIefnvL","properties":{"formattedCitation":"(Labont\\uc0\\u233{} et al., 2011; Mason et al., 2017)","plainCitation":"(Labonté et al., 2011; Mason et al., 2017)","noteIndex":0},"citationItems":[{"id":3137,"uris":["http://zotero.org/users/2351503/items/DFZ5ZJ2M"],"itemData":{"id":3137,"type":"article-journal","abstract":"In recent decades, public health policy and practice have been increasingly challenged by globalization, even as global financing for health has increased dramatically. This article discusses globalization and its health challenges from a vantage of political science, emphasizing increased global flows (of pathogens, information, trade, finance, and people) as driving, and driven by, global market integration. This integration requires a shift in public health thinking from a singular focus on international health (the higher disease burden in poor countries) to a more nuanced analysis of global health (in which health risks in both poor and rich countries are seen as having inherently global causes and consequences). Several globalization-related pathways to health exist, two key ones of which are described: globalized diseases and economic vulnerabilities. The article concludes with a call for national governments, especially those of wealthier nations, to take greater account of global health and its social determinants in all their foreign policies.","container-title":"Annual Review of Public Health","DOI":"10.1146/annurev-publhealth-031210-101225","ISSN":"1545-2093","journalAbbreviation":"Annu Rev Public Health","language":"eng","note":"PMID: 21219153","page":"263-283","source":"PubMed","title":"The growing impact of globalization for health and public health practice","volume":"32","author":[{"family":"Labonté","given":"Ronald"},{"family":"Mohindra","given":"Katia"},{"family":"Schrecker","given":"Ted"}],"issued":{"date-parts":[["2011"]]}}},{"id":4389,"uris":["http://zotero.org/users/2351503/items/NTKVM6B7"],"itemData":{"id":4389,"type":"article-journal","abstract":"Abstract The process of globalization is commonly espoused as a means for promoting global health. Efforts to “go global” can, however, easily go awry as a result of lack of attention to local social, economic, and political contexts and/or as a result of commercial and political imperatives that allow local populations to be exploited. Critical analysis of the processes of globalization is necessary to better understand the local particularities of global projects and confront challenges more transparently. We illustrate the potential adverse impacts of globalization in the global health setting, through examination of international tuberculosis control, global mental health, and the establishment of transnational biobank networks.","container-title":"The American Journal of Tropical Medicine and Hygiene","DOI":"10.4269/ajtmh.16-0791","ISSN":"0002-9637, 1476-1645","issue":"4","language":"en","page":"767-769","source":"www.ajtmh.org","title":"The Global in Global Health is Not a Given","volume":"96","author":[{"family":"Mason","given":"Paul H."},{"family":"Kerridge","given":"Ian"},{"family":"Lipworth","given":"Wendy"}],"issued":{"date-parts":[["2017",4,5]]}}}],"schema":"https://github.com/citation-style-language/schema/raw/master/csl-citation.json"} </w:instrText>
      </w:r>
      <w:r>
        <w:rPr>
          <w:rFonts w:ascii="Arial" w:hAnsi="Arial" w:cs="Arial"/>
          <w:sz w:val="24"/>
          <w:szCs w:val="24"/>
        </w:rPr>
        <w:fldChar w:fldCharType="separate"/>
      </w:r>
      <w:r>
        <w:rPr>
          <w:rFonts w:ascii="Arial" w:hAnsi="Arial" w:cs="Arial"/>
          <w:kern w:val="0"/>
          <w:sz w:val="24"/>
          <w:szCs w:val="24"/>
        </w:rPr>
        <w:t>(Labonté et al., 2011; Mason et al., 2017)</w:t>
      </w:r>
      <w:r>
        <w:rPr>
          <w:rFonts w:ascii="Arial" w:hAnsi="Arial" w:cs="Arial"/>
          <w:sz w:val="24"/>
          <w:szCs w:val="24"/>
        </w:rPr>
        <w:fldChar w:fldCharType="end"/>
      </w:r>
      <w:r>
        <w:rPr>
          <w:rFonts w:ascii="Arial" w:hAnsi="Arial" w:cs="Arial"/>
          <w:sz w:val="24"/>
          <w:szCs w:val="24"/>
        </w:rPr>
        <w:t xml:space="preserve">. El campo de la Salud Global necesita una agenda transnacional de investigación y acción capaz de </w:t>
      </w:r>
      <w:r>
        <w:rPr>
          <w:rFonts w:ascii="Arial" w:hAnsi="Arial" w:cs="Arial"/>
          <w:sz w:val="24"/>
          <w:szCs w:val="24"/>
        </w:rPr>
        <w:lastRenderedPageBreak/>
        <w:t xml:space="preserve">constituirse de manera más o menos autónoma, y esto, a escala internacional </w:t>
      </w:r>
      <w:r>
        <w:rPr>
          <w:rFonts w:ascii="Arial" w:hAnsi="Arial" w:cs="Arial"/>
          <w:sz w:val="24"/>
          <w:szCs w:val="24"/>
        </w:rPr>
        <w:fldChar w:fldCharType="begin"/>
      </w:r>
      <w:r>
        <w:rPr>
          <w:rFonts w:ascii="Arial" w:hAnsi="Arial" w:cs="Arial"/>
          <w:sz w:val="24"/>
          <w:szCs w:val="24"/>
        </w:rPr>
        <w:instrText xml:space="preserve"> ADDIN ZOTERO_ITEM CSL_CITATION {"citationID":"kB4a0ykM","properties":{"formattedCitation":"(Hanefeld &amp; Walt, 2015)","plainCitation":"(Hanefeld &amp; Walt, 2015)","noteIndex":0},"citationItems":[{"id":2744,"uris":["http://zotero.org/users/2351503/items/B2WFJFUK"],"itemData":{"id":2744,"type":"article-journal","abstract":"Shiffman rightly raises questions about who exercises power in global health, suggesting power is a complex concept, and the way it is exercised is often opaque. Power that is not based on financial strength but on knowledge or experience, is difficult to estimate, and yet it may provide the legitimacy to make moral claims on what is, or ought to be, on global health agendas. Twenty years ago power was exercised in a much less complex health environment. The World Health Organization (WHO) was able to exert its authority as world health leader. The landscape today is very different. Financial resources for global health are being competed for by diverse organisations, and power is diffused and somewhat hidden in such a climate, where each organization has to establish and make its own moral claims loudly and publicly. We observe two ways which allow actors to capture moral authority in global health. One, through power based on scientific knowledge and two, through procedures in the policy process, most commonly associated with the notion of broad consultation and participation. We discuss these drawing on one particular framework provided by Bourdieu, who analyses the source of actor power by focusing on different sorts of capital. Different approaches or theories to understanding power will go some way to answering the challenge Shiffman throws to health policy analysts. We need to explore much more fully where power lies in global health, and how it is exercised in order to understand underlying health agendas and claims to legitimacy made by global health actors today.","container-title":"International Journal of Health Policy and Management","DOI":"10.15171/ijhpm.2015.25","ISSN":"2322-5939","issue":"2","journalAbbreviation":"Int J Health Policy Manag","note":"PMID: 25674577\nPMCID: PMC4322625","page":"119-121","source":"PubMed Central","title":"Knowledge and networks – key sources of power in global health","volume":"4","author":[{"family":"Hanefeld","given":"Johanna"},{"family":"Walt","given":"Gill"}],"issued":{"date-parts":[["2015",2,5]]}}}],"schema":"https://github.com/citation-style-language/schema/raw/master/csl-citation.json"} </w:instrText>
      </w:r>
      <w:r>
        <w:rPr>
          <w:rFonts w:ascii="Arial" w:hAnsi="Arial" w:cs="Arial"/>
          <w:sz w:val="24"/>
          <w:szCs w:val="24"/>
        </w:rPr>
        <w:fldChar w:fldCharType="separate"/>
      </w:r>
      <w:r>
        <w:rPr>
          <w:rFonts w:ascii="Arial" w:hAnsi="Arial" w:cs="Arial"/>
          <w:sz w:val="24"/>
          <w:szCs w:val="24"/>
        </w:rPr>
        <w:t>(Hanefeld &amp; Walt, 2015)</w:t>
      </w:r>
      <w:r>
        <w:rPr>
          <w:rFonts w:ascii="Arial" w:hAnsi="Arial" w:cs="Arial"/>
          <w:sz w:val="24"/>
          <w:szCs w:val="24"/>
        </w:rPr>
        <w:fldChar w:fldCharType="end"/>
      </w:r>
      <w:r>
        <w:rPr>
          <w:rFonts w:ascii="Arial" w:hAnsi="Arial" w:cs="Arial"/>
          <w:sz w:val="24"/>
          <w:szCs w:val="24"/>
        </w:rPr>
        <w:t>.</w:t>
      </w:r>
    </w:p>
    <w:p w14:paraId="45BD2916" w14:textId="77777777" w:rsidR="0093626A" w:rsidRDefault="0093626A" w:rsidP="005915A7">
      <w:pPr>
        <w:spacing w:after="0" w:line="360" w:lineRule="auto"/>
        <w:jc w:val="both"/>
        <w:rPr>
          <w:rFonts w:ascii="Arial" w:hAnsi="Arial" w:cs="Arial"/>
          <w:sz w:val="24"/>
          <w:szCs w:val="24"/>
        </w:rPr>
      </w:pPr>
    </w:p>
    <w:p w14:paraId="04DE0C2F" w14:textId="77777777" w:rsidR="0093626A" w:rsidRDefault="00000000" w:rsidP="00634580">
      <w:pPr>
        <w:spacing w:after="0" w:line="360" w:lineRule="auto"/>
        <w:ind w:firstLine="708"/>
        <w:jc w:val="both"/>
        <w:rPr>
          <w:rFonts w:ascii="Arial" w:hAnsi="Arial" w:cs="Arial"/>
          <w:color w:val="000000" w:themeColor="text1"/>
          <w:sz w:val="24"/>
          <w:szCs w:val="24"/>
        </w:rPr>
      </w:pPr>
      <w:r>
        <w:rPr>
          <w:rFonts w:ascii="Arial" w:hAnsi="Arial" w:cs="Arial"/>
          <w:sz w:val="24"/>
          <w:szCs w:val="24"/>
        </w:rPr>
        <w:t xml:space="preserve">En este sentido, las redes transnacionales de investigación colaborativa se presentan como una estrategia prometedora y necesaria que permitiría el abordaje sistémico entre las dimensiones global y local de los desafíos contemporáneos de salud pública. </w:t>
      </w:r>
    </w:p>
    <w:p w14:paraId="55861CB9" w14:textId="77777777" w:rsidR="0093626A" w:rsidRDefault="0093626A" w:rsidP="00634580">
      <w:pPr>
        <w:spacing w:after="0" w:line="360" w:lineRule="auto"/>
        <w:ind w:firstLine="708"/>
        <w:jc w:val="both"/>
        <w:rPr>
          <w:rFonts w:ascii="Arial" w:hAnsi="Arial" w:cs="Arial"/>
          <w:sz w:val="24"/>
          <w:szCs w:val="24"/>
        </w:rPr>
      </w:pPr>
    </w:p>
    <w:p w14:paraId="1508C126" w14:textId="77777777" w:rsidR="0093626A" w:rsidRDefault="00000000" w:rsidP="00634580">
      <w:pPr>
        <w:spacing w:after="0" w:line="360" w:lineRule="auto"/>
        <w:ind w:firstLine="708"/>
        <w:jc w:val="both"/>
        <w:rPr>
          <w:rFonts w:ascii="Arial" w:hAnsi="Arial" w:cs="Arial"/>
          <w:sz w:val="24"/>
          <w:szCs w:val="24"/>
        </w:rPr>
      </w:pPr>
      <w:r>
        <w:rPr>
          <w:rFonts w:ascii="Arial" w:hAnsi="Arial" w:cs="Arial"/>
          <w:sz w:val="24"/>
          <w:szCs w:val="24"/>
        </w:rPr>
        <w:t xml:space="preserve">Las comunidades epistémicas </w:t>
      </w:r>
      <w:r>
        <w:rPr>
          <w:rFonts w:ascii="Arial" w:hAnsi="Arial" w:cs="Arial"/>
          <w:sz w:val="24"/>
          <w:szCs w:val="24"/>
        </w:rPr>
        <w:fldChar w:fldCharType="begin"/>
      </w:r>
      <w:r>
        <w:rPr>
          <w:rFonts w:ascii="Arial" w:hAnsi="Arial" w:cs="Arial"/>
          <w:sz w:val="24"/>
          <w:szCs w:val="24"/>
        </w:rPr>
        <w:instrText xml:space="preserve"> ADDIN ZOTERO_ITEM CSL_CITATION {"citationID":"RCAbwR4o","properties":{"formattedCitation":"(Haas, 2008; Miller &amp; Fox, 2001)","plainCitation":"(Haas, 2008; Miller &amp; Fox, 2001)","noteIndex":0},"citationItems":[{"id":22317,"uris":["http://zotero.org/users/2351503/items/Z3U3979L"],"itemData":{"id":22317,"type":"chapter","container-title":"The Oxford Handbook of International Environmental Law","ISBN":"978-0-19-955215-3","note":"DOI: 10.1093/oxfordhb/9780199552153.013.0034","page":"0","publisher":"Oxford University Press","source":"Silverchair","title":"Epistemic Communities","URL":"https://doi.org/10.1093/oxfordhb/9780199552153.013.0034","author":[{"family":"Haas","given":"Peter"}],"editor":[{"family":"Bodansky","given":"Daniel"},{"family":"Brunnée","given":"Jutta"},{"family":"Hey","given":"Ellen"}],"accessed":{"date-parts":[["2023",6,18]]},"issued":{"date-parts":[["2008",8,7]]}}},{"id":22366,"uris":["http://zotero.org/users/2351503/items/7V6PCYXQ"],"itemData":{"id":22366,"type":"article-journal","abstract":"Early epistemology assumed that the observer (a) was independent of and distinct from the object being observed and (b) could validate objective reality in a language system called the laws of science. The authors offer something different. In arguing that knowledge is responsive to the culture in which it is embedded, they take a perspectival approach, gathering localized intentionality, context, social practices, and linguistic meaning (called ground) into the project of inquiry (called figure). Knowledge building, in other words, depends on the background and interests of the epistemic community that is generating knowledge.","container-title":"Administration &amp; Society","DOI":"10.1177/00953990122019613","ISSN":"0095-3997","issue":"6","language":"en","note":"publisher: SAGE Publications Inc","page":"668-685","source":"SAGE Journals","title":"The Epistemic Community","volume":"32","author":[{"family":"Miller","given":"Hugh T."},{"family":"Fox","given":"Charles J."}],"issued":{"date-parts":[["2001",1,1]]}}}],"schema":"https://github.com/citation-style-language/schema/raw/master/csl-citation.json"} </w:instrText>
      </w:r>
      <w:r>
        <w:rPr>
          <w:rFonts w:ascii="Arial" w:hAnsi="Arial" w:cs="Arial"/>
          <w:sz w:val="24"/>
          <w:szCs w:val="24"/>
        </w:rPr>
        <w:fldChar w:fldCharType="separate"/>
      </w:r>
      <w:r>
        <w:rPr>
          <w:rFonts w:ascii="Arial" w:hAnsi="Arial" w:cs="Arial"/>
          <w:sz w:val="24"/>
          <w:szCs w:val="24"/>
        </w:rPr>
        <w:t>(Haas, 2008; Miller &amp; Fox, 2001)</w:t>
      </w:r>
      <w:r>
        <w:rPr>
          <w:rFonts w:ascii="Arial" w:hAnsi="Arial" w:cs="Arial"/>
          <w:sz w:val="24"/>
          <w:szCs w:val="24"/>
        </w:rPr>
        <w:fldChar w:fldCharType="end"/>
      </w:r>
      <w:r>
        <w:rPr>
          <w:rFonts w:ascii="Arial" w:hAnsi="Arial" w:cs="Arial"/>
          <w:sz w:val="24"/>
          <w:szCs w:val="24"/>
        </w:rPr>
        <w:t>, por su lado, facilitan la creación de un vínculo pragmático entre varias escalas de complejidad de las colaboraciones internacionales en Salud Global que, consecuentemente, facilitaría el proceso de planificación e implementación de la investigación colaborativa. La dimensión participativa inherente a los proyectos de investigación locales presupone, por un lado, que las acciones estén precedidas de compromiso y deliberaciones y, en consecuencia, que las decisiones sean el resultado de compromisos entre diversas lógicas de acción; y, por otro lado, que los actores locales estén dotados de habilidades que se expresan en nuevas formas de organización del territorio. Por lo tanto, hay transiciones incesantes entre el nivel global de coordinación – las políticas internacionales de salud pública – y el plan local de acción – donde se implementan las prácticas de investigación colaborativa.</w:t>
      </w:r>
    </w:p>
    <w:p w14:paraId="0BE67D6A" w14:textId="77777777" w:rsidR="0093626A" w:rsidRDefault="0093626A" w:rsidP="00634580">
      <w:pPr>
        <w:spacing w:after="0" w:line="360" w:lineRule="auto"/>
        <w:ind w:firstLine="708"/>
        <w:jc w:val="both"/>
        <w:rPr>
          <w:rFonts w:ascii="Arial" w:hAnsi="Arial" w:cs="Arial"/>
          <w:sz w:val="24"/>
          <w:szCs w:val="24"/>
        </w:rPr>
      </w:pPr>
    </w:p>
    <w:p w14:paraId="2465FE3C" w14:textId="77777777" w:rsidR="0093626A" w:rsidRDefault="00000000" w:rsidP="00634580">
      <w:pPr>
        <w:spacing w:after="0" w:line="360" w:lineRule="auto"/>
        <w:ind w:firstLine="708"/>
        <w:jc w:val="both"/>
        <w:rPr>
          <w:rFonts w:ascii="Arial" w:hAnsi="Arial" w:cs="Arial"/>
          <w:sz w:val="24"/>
          <w:szCs w:val="24"/>
        </w:rPr>
      </w:pPr>
      <w:r>
        <w:rPr>
          <w:rFonts w:ascii="Arial" w:hAnsi="Arial" w:cs="Arial"/>
          <w:sz w:val="24"/>
          <w:szCs w:val="24"/>
        </w:rPr>
        <w:t xml:space="preserve">El enfoque de las comunidades epistémicas resulta especialmente relevante para la formulación de políticas en el campo de la Salud Global porque examina las dinámicas de poder derivadas de la autoridad de los expertos en asuntos técnicos y explora cómo las grandes organizaciones negocian la creación de políticas de gran alcance </w:t>
      </w:r>
      <w:r>
        <w:rPr>
          <w:rFonts w:ascii="Arial" w:hAnsi="Arial" w:cs="Arial"/>
          <w:sz w:val="24"/>
          <w:szCs w:val="24"/>
        </w:rPr>
        <w:fldChar w:fldCharType="begin"/>
      </w:r>
      <w:r>
        <w:rPr>
          <w:rFonts w:ascii="Arial" w:hAnsi="Arial" w:cs="Arial"/>
          <w:sz w:val="24"/>
          <w:szCs w:val="24"/>
        </w:rPr>
        <w:instrText xml:space="preserve"> ADDIN ZOTERO_ITEM CSL_CITATION {"citationID":"40brj4r0","properties":{"formattedCitation":"(Adler &amp; Haas, 1992; Antoniades, 2003; Dunlop, 2012)","plainCitation":"(Adler &amp; Haas, 1992; Antoniades, 2003; Dunlop, 2012)","noteIndex":0},"citationItems":[{"id":22325,"uris":["http://zotero.org/users/2351503/items/MPMVVKHD"],"itemData":{"id":22325,"type":"article-journal","abstract":"Studies in this issue show that the epistemic communities approach amounts to a progressive research program with which students of world politics can empirically study the role of reason and ideas in international relations. By focusing on epistemic communities, analysts may better understand how states come to recognize interests under conditions of uncertainty. According to this research program, international relations can be seen as an evolutionary process in which epistemic communities play meaningful roles as sources of policy innovation, channels by which these innovations diffuse internationally, and catalysts in the political and institutional processes leading to the selection of their shared goals. The influence of epistemic communities persists mainly through the institutions that they help create and inform with their preferred world vision. By elucidating the cause-and-effect understandings in the particular issue-area and familiarizing policymakers with the reasoning processes by which decisions are made elsewhere, epistemic communities contribute to the transparency of action and the development of common inferences and expectations and thereby contribute to policy coordination. International cooperation and, indeed, the development of new world orders based on common meanings and understandings may thus depend on the extent to which nation-states apply their power on behalf of practices that epistemic communities may have helped create, diffuse, and perpetuate.","container-title":"International Organization","DOI":"10.1017/S0020818300001533","ISSN":"1531-5088, 0020-8183","issue":"1","language":"en","note":"publisher: Cambridge University Press","page":"367-390","source":"Cambridge University Press","title":"Conclusion: epistemic communities, world order, and the creation of a reflective research program","title-short":"Conclusion","volume":"46","author":[{"family":"Adler","given":"Emanuel"},{"family":"Haas","given":"Peter M."}],"issued":{"date-parts":[["1992",1]]}}},{"id":22323,"uris":["http://zotero.org/users/2351503/items/VWY5DQAX"],"itemData":{"id":22323,"type":"article-journal","container-title":"Global Society","DOI":"10.1080/0953732032000053980","ISSN":"1360-0826","issue":"1","note":"publisher: Routledge\n_eprint: https://doi.org/10.1080/0953732032000053980","page":"21-38","source":"Taylor and Francis+NEJM","title":"Epistemic Communities, Epistemes and the Construction of (World) Politics","volume":"17","author":[{"family":"Antoniades","given":"Andreas"}],"issued":{"date-parts":[["2003",1,1]]}}},{"id":22313,"uris":["http://zotero.org/users/2351503/items/RYVPLDKN"],"itemData":{"id":22313,"type":"chapter","abstract":"Peter M. Haas formulated the epistemic communities framework as a means of exploring the influence of knowledge-based experts in international policy-making. Specifically, the approach was designed to address decision-making instances characterized by technical complexity and uncertainty. Control over the production of knowledge enables epistemic communities to articulate cause-and-effect relationships and so frame issues for collective debate and export their policy projects globally. Despite the framework being two decades old, there are still relatively few studies which explicitly test or develop the concept theoretically, thus making it difficult to assess what we have collectively and cumulatively learned about this topic. This chapter attempts to systematize key developments in the literature. The first section outlines the concept locating it in the politics of ideas literature. The second explores the state of the art in the empirical studies deploying the epistemic communities framework. The third section considers the theoretical challenges that researchers face when attempting to study epistemic communities. Discussion here proposes five possible causal pathways through which we can explain how epistemic communities help decision-makers learn. The chapter closes with a brief sketch of potential future research frontiers for scholars interested in the power of knowledge and epistemic communities in public policy.","ISBN":"978-0-415-78245-6","language":"en","note":"Accepted: 2012-12-20T14:31:52Z","publisher":"Routledge","source":"ore.exeter.ac.uk","title":"Epistemic Communities","URL":"https://ore.exeter.ac.uk/repository/handle/10036/4098","author":[{"family":"Dunlop","given":"Claire A."}],"accessed":{"date-parts":[["2023",6,18]]},"issued":{"date-parts":[["2012",11,20]]}}}],"schema":"https://github.com/citation-style-language/schema/raw/master/csl-citation.json"} </w:instrText>
      </w:r>
      <w:r>
        <w:rPr>
          <w:rFonts w:ascii="Arial" w:hAnsi="Arial" w:cs="Arial"/>
          <w:sz w:val="24"/>
          <w:szCs w:val="24"/>
        </w:rPr>
        <w:fldChar w:fldCharType="separate"/>
      </w:r>
      <w:r w:rsidRPr="00E124A8">
        <w:rPr>
          <w:rFonts w:ascii="Arial" w:hAnsi="Arial" w:cs="Arial"/>
          <w:sz w:val="24"/>
          <w:szCs w:val="24"/>
        </w:rPr>
        <w:t>(Adler &amp; Haas, 1992; Antoniades, 2003; Dunlop, 2012)</w:t>
      </w:r>
      <w:r>
        <w:rPr>
          <w:rFonts w:ascii="Arial" w:hAnsi="Arial" w:cs="Arial"/>
          <w:sz w:val="24"/>
          <w:szCs w:val="24"/>
        </w:rPr>
        <w:fldChar w:fldCharType="end"/>
      </w:r>
      <w:r>
        <w:rPr>
          <w:rFonts w:ascii="Arial" w:hAnsi="Arial" w:cs="Arial"/>
          <w:sz w:val="24"/>
          <w:szCs w:val="24"/>
        </w:rPr>
        <w:t>.</w:t>
      </w:r>
    </w:p>
    <w:p w14:paraId="77D71C82" w14:textId="77777777" w:rsidR="0093626A" w:rsidRDefault="0093626A" w:rsidP="005915A7">
      <w:pPr>
        <w:spacing w:after="0" w:line="360" w:lineRule="auto"/>
        <w:jc w:val="both"/>
        <w:rPr>
          <w:rFonts w:ascii="Arial" w:hAnsi="Arial" w:cs="Arial"/>
          <w:sz w:val="24"/>
          <w:szCs w:val="24"/>
        </w:rPr>
      </w:pPr>
    </w:p>
    <w:p w14:paraId="126DA9D4" w14:textId="77777777" w:rsidR="0093626A" w:rsidRDefault="00000000" w:rsidP="00634580">
      <w:pPr>
        <w:spacing w:after="0" w:line="360" w:lineRule="auto"/>
        <w:ind w:firstLine="708"/>
        <w:jc w:val="both"/>
        <w:rPr>
          <w:rFonts w:ascii="Arial" w:hAnsi="Arial" w:cs="Arial"/>
          <w:sz w:val="24"/>
          <w:szCs w:val="24"/>
        </w:rPr>
      </w:pPr>
      <w:r>
        <w:rPr>
          <w:rFonts w:ascii="Arial" w:hAnsi="Arial" w:cs="Arial"/>
          <w:sz w:val="24"/>
          <w:szCs w:val="24"/>
        </w:rPr>
        <w:t xml:space="preserve">Finalmente, gracias el desarrollo de las TIC – especialmente a partir de la pandemia por COVID-19 –, las CEV </w:t>
      </w:r>
      <w:r>
        <w:rPr>
          <w:rFonts w:ascii="Arial" w:hAnsi="Arial" w:cs="Arial"/>
          <w:color w:val="2F5496" w:themeColor="accent1" w:themeShade="BF"/>
          <w:sz w:val="24"/>
          <w:szCs w:val="24"/>
        </w:rPr>
        <w:t xml:space="preserve"> </w:t>
      </w:r>
      <w:r>
        <w:rPr>
          <w:rFonts w:ascii="Arial" w:hAnsi="Arial" w:cs="Arial"/>
          <w:sz w:val="24"/>
          <w:szCs w:val="24"/>
        </w:rPr>
        <w:t>permiten la creación de entornos digitales colaborativos para la producción de conocimiento en múltiples contextos locales y esto, a largo plazo</w:t>
      </w:r>
      <w:r>
        <w:rPr>
          <w:rFonts w:ascii="Arial" w:hAnsi="Arial" w:cs="Arial"/>
          <w:sz w:val="24"/>
          <w:szCs w:val="24"/>
        </w:rPr>
        <w:fldChar w:fldCharType="begin"/>
      </w:r>
      <w:r>
        <w:rPr>
          <w:rFonts w:ascii="Arial" w:hAnsi="Arial" w:cs="Arial"/>
          <w:sz w:val="24"/>
          <w:szCs w:val="24"/>
        </w:rPr>
        <w:instrText xml:space="preserve"> ADDIN ZOTERO_ITEM CSL_CITATION {"citationID":"bgAOA9jp","properties":{"formattedCitation":"(Dube et al., 2006; Gannon-Leary &amp; Fontainha, 2007; Vaast, 2004)","plainCitation":"(Dube et al., 2006; Gannon-Leary &amp; Fontainha, 2007; Vaast, 2004)","noteIndex":0},"citationItems":[{"id":22419,"uris":["http://zotero.org/users/2351503/items/EGVEVAWK"],"itemData":{"id":22419,"type":"article-journal","abstract":"The literature is packed with “one-size-fits-all” advice on how to develop intentionally formed virtual communities of practice (VCoPs). However, a closer look at the literature shows that VCoPs often have unique “personalities.” Based on an extensive review of the literature and a study of 18 VCoPs, we built a typology containing 21 structuring characteristics. We then used this typology and three of the studied VCoPs to show how different their basic natures are. Researchers and practitioners alike must not only recognize the diversity of VCoPs, but also identify challenges, strategies and practices that are contingent upon their specific characteristics.","container-title":"Interdisciplinary Journal of Information, Knowledge, and Management","DOI":"10.28945/115","ISSN":"1555-1229, 1555-1237","journalAbbreviation":"IJIKM","language":"en","page":"069-093","source":"DOI.org (Crossref)","title":"Towards a Typology of Virtual Communities of Practice","volume":"1","author":[{"family":"Dube","given":"Line"},{"family":"Bourhis","given":"Anne"},{"family":"Jacob","given":"Real"}],"issued":{"date-parts":[["2006"]]}}},{"id":22434,"uris":["http://zotero.org/users/2351503/items/HLWPBYFZ"],"itemData":{"id":22434,"type":"article-journal","abstract":"A virtual Community of Practice (CoP) is a network of individuals who share a domain of interest about which they communicate online. The practitioners share resources (for example experiences, problems and solutions, tools, methodologies). Such communication results in the improvement of the knowledge of each participant in the community and contributes to the development of the knowledge within the domain. A virtual learning community may involve the conduct of original research but it is more likely that its main purpose is to increase the knowledge of participants, via formal education or professional development. Virtual learning communities could have learning as their main goal or the elearning could be generated as a side effect.","language":"en","source":"Zotero","title":"Communities of Practice and virtual learning communities: benefits, barriers and success factors","author":[{"family":"Gannon-Leary","given":"Pat"},{"family":"Fontainha","given":"Elsa"}],"issued":{"date-parts":[["2007"]]}}},{"id":22435,"uris":["http://zotero.org/users/2351503/items/YHUG9W36"],"itemData":{"id":22435,"type":"article-journal","abstract":"Communities of practice are highly situated and, yet, networks of practice supposedly connect them. Assuming the situated dimension of work and identity in communities of practice, how may dispersed agents be connected, and how may the features of communities of practice be extended from the local to the network level? This article proposes that the use of intranets contributes to the interconnections of local communities and to the emergence of a network of practice. It draws on two case studies in which members of local communities used an intranet system to establish communications with remote colleagues in ways that did not merely reproduce their immediate context. The use of the intranet contributed to the mutual reinforcement of local communities, and of the overall network, and to growing complementarities among colleagues at different levels. Conceptually, in a relational perspective, the use of the intranet extended the situatedness of practice.","container-title":"Management Communication Quarterly","DOI":"10.1177/0893318904265125","ISSN":"0893-3189","issue":"1","language":"en","note":"publisher: SAGE Publications Inc","page":"5-44","source":"SAGE Journals","title":"O Brother, Where are Thou?: From Communities to Networks of Practice Through Intranet Use","title-short":"O Brother, Where are Thou?","volume":"18","author":[{"family":"Vaast","given":"Emmanuelle"}],"issued":{"date-parts":[["2004",8,1]]}}}],"schema":"https://github.com/citation-style-language/schema/raw/master/csl-citation.json"} </w:instrText>
      </w:r>
      <w:r>
        <w:rPr>
          <w:rFonts w:ascii="Arial" w:hAnsi="Arial" w:cs="Arial"/>
          <w:sz w:val="24"/>
          <w:szCs w:val="24"/>
        </w:rPr>
        <w:fldChar w:fldCharType="separate"/>
      </w:r>
      <w:r>
        <w:rPr>
          <w:rFonts w:ascii="Arial" w:hAnsi="Arial" w:cs="Arial"/>
          <w:sz w:val="24"/>
          <w:szCs w:val="24"/>
        </w:rPr>
        <w:t xml:space="preserve">(Dube et al., 2006; Gannon-Leary &amp; Fontainha, 2007; Vaast, </w:t>
      </w:r>
      <w:r>
        <w:rPr>
          <w:rFonts w:ascii="Arial" w:hAnsi="Arial" w:cs="Arial"/>
          <w:sz w:val="24"/>
          <w:szCs w:val="24"/>
        </w:rPr>
        <w:lastRenderedPageBreak/>
        <w:t>2004)</w:t>
      </w:r>
      <w:r>
        <w:rPr>
          <w:rFonts w:ascii="Arial" w:hAnsi="Arial" w:cs="Arial"/>
          <w:sz w:val="24"/>
          <w:szCs w:val="24"/>
        </w:rPr>
        <w:fldChar w:fldCharType="end"/>
      </w:r>
      <w:r>
        <w:rPr>
          <w:rFonts w:ascii="Arial" w:hAnsi="Arial" w:cs="Arial"/>
          <w:sz w:val="24"/>
          <w:szCs w:val="24"/>
        </w:rPr>
        <w:t>. Las CEV permiten a diferentes grupos de actores interactuar entre sí, aprender mutuamente, construir relaciones sociales más simétricas y desarrollar de este modo una práctica de investigación colaborativa profundamente vinculada al discurso de la Salud Global que se implementa actualmente en un contexto globalizado de complejidad y diversidad cultural.</w:t>
      </w:r>
    </w:p>
    <w:p w14:paraId="1418F493" w14:textId="77777777" w:rsidR="0093626A" w:rsidRPr="00634580" w:rsidRDefault="00000000" w:rsidP="005915A7">
      <w:pPr>
        <w:pStyle w:val="Ttulo1"/>
        <w:spacing w:before="120" w:after="120" w:line="360" w:lineRule="auto"/>
        <w:jc w:val="both"/>
        <w:rPr>
          <w:rFonts w:ascii="Arial" w:hAnsi="Arial" w:cs="Arial"/>
          <w:b/>
          <w:bCs/>
          <w:color w:val="auto"/>
          <w:sz w:val="24"/>
          <w:szCs w:val="24"/>
          <w:lang w:val="en-GB"/>
        </w:rPr>
      </w:pPr>
      <w:r w:rsidRPr="00634580">
        <w:rPr>
          <w:rFonts w:ascii="Arial" w:hAnsi="Arial" w:cs="Arial"/>
          <w:b/>
          <w:bCs/>
          <w:color w:val="auto"/>
          <w:sz w:val="24"/>
          <w:szCs w:val="24"/>
          <w:lang w:val="en-GB"/>
        </w:rPr>
        <w:t>Referencias bibliográficas</w:t>
      </w:r>
    </w:p>
    <w:p w14:paraId="1C6B549E"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rPr>
        <w:fldChar w:fldCharType="begin"/>
      </w:r>
      <w:r w:rsidRPr="00634580">
        <w:rPr>
          <w:rFonts w:ascii="Arial" w:hAnsi="Arial" w:cs="Arial"/>
          <w:sz w:val="24"/>
          <w:szCs w:val="24"/>
          <w:lang w:val="en-GB"/>
        </w:rPr>
        <w:instrText xml:space="preserve"> ADDIN ZOTERO_BIBL {"uncited":[],"omitted":[],"custom":[]} CSL_BIBLIOGRAPHY </w:instrText>
      </w:r>
      <w:r w:rsidRPr="00634580">
        <w:rPr>
          <w:rFonts w:ascii="Arial" w:hAnsi="Arial" w:cs="Arial"/>
          <w:sz w:val="24"/>
          <w:szCs w:val="24"/>
        </w:rPr>
        <w:fldChar w:fldCharType="separate"/>
      </w:r>
      <w:r w:rsidRPr="00634580">
        <w:rPr>
          <w:rFonts w:ascii="Arial" w:hAnsi="Arial" w:cs="Arial"/>
          <w:sz w:val="24"/>
          <w:szCs w:val="24"/>
          <w:lang w:val="en-GB"/>
        </w:rPr>
        <w:t xml:space="preserve">Abma, T. A., Cook, T., Rämgård, M., Kleba, E., Harris, J., &amp; Wallerstein, N. (2017). Social impact of participatory health research: Collaborative non-linear processes of knowledge mobilization. </w:t>
      </w:r>
      <w:r w:rsidRPr="00634580">
        <w:rPr>
          <w:rFonts w:ascii="Arial" w:hAnsi="Arial" w:cs="Arial"/>
          <w:i/>
          <w:iCs/>
          <w:sz w:val="24"/>
          <w:szCs w:val="24"/>
          <w:lang w:val="en-GB"/>
        </w:rPr>
        <w:t>Educational Action Research</w:t>
      </w:r>
      <w:r w:rsidRPr="00634580">
        <w:rPr>
          <w:rFonts w:ascii="Arial" w:hAnsi="Arial" w:cs="Arial"/>
          <w:sz w:val="24"/>
          <w:szCs w:val="24"/>
          <w:lang w:val="en-GB"/>
        </w:rPr>
        <w:t xml:space="preserve">, </w:t>
      </w:r>
      <w:r w:rsidRPr="00634580">
        <w:rPr>
          <w:rFonts w:ascii="Arial" w:hAnsi="Arial" w:cs="Arial"/>
          <w:i/>
          <w:iCs/>
          <w:sz w:val="24"/>
          <w:szCs w:val="24"/>
          <w:lang w:val="en-GB"/>
        </w:rPr>
        <w:t>25</w:t>
      </w:r>
      <w:r w:rsidRPr="00634580">
        <w:rPr>
          <w:rFonts w:ascii="Arial" w:hAnsi="Arial" w:cs="Arial"/>
          <w:sz w:val="24"/>
          <w:szCs w:val="24"/>
          <w:lang w:val="en-GB"/>
        </w:rPr>
        <w:t>(4), 489–505. https://doi.org/10.1080/09650792.2017.1329092</w:t>
      </w:r>
    </w:p>
    <w:p w14:paraId="5C99E120"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Adler, E., &amp; Haas, P. M. (1992). Conclusion: Epistemic communities, world order, and the creation of a reflective research program. </w:t>
      </w:r>
      <w:r w:rsidRPr="00634580">
        <w:rPr>
          <w:rFonts w:ascii="Arial" w:hAnsi="Arial" w:cs="Arial"/>
          <w:i/>
          <w:iCs/>
          <w:sz w:val="24"/>
          <w:szCs w:val="24"/>
          <w:lang w:val="en-GB"/>
        </w:rPr>
        <w:t>International Organization</w:t>
      </w:r>
      <w:r w:rsidRPr="00634580">
        <w:rPr>
          <w:rFonts w:ascii="Arial" w:hAnsi="Arial" w:cs="Arial"/>
          <w:sz w:val="24"/>
          <w:szCs w:val="24"/>
          <w:lang w:val="en-GB"/>
        </w:rPr>
        <w:t xml:space="preserve">, </w:t>
      </w:r>
      <w:r w:rsidRPr="00634580">
        <w:rPr>
          <w:rFonts w:ascii="Arial" w:hAnsi="Arial" w:cs="Arial"/>
          <w:i/>
          <w:iCs/>
          <w:sz w:val="24"/>
          <w:szCs w:val="24"/>
          <w:lang w:val="en-GB"/>
        </w:rPr>
        <w:t>46</w:t>
      </w:r>
      <w:r w:rsidRPr="00634580">
        <w:rPr>
          <w:rFonts w:ascii="Arial" w:hAnsi="Arial" w:cs="Arial"/>
          <w:sz w:val="24"/>
          <w:szCs w:val="24"/>
          <w:lang w:val="en-GB"/>
        </w:rPr>
        <w:t>(1), 367–390. https://doi.org/10.1017/S0020818300001533</w:t>
      </w:r>
    </w:p>
    <w:p w14:paraId="165E7D84" w14:textId="77777777" w:rsidR="0093626A" w:rsidRPr="00634580" w:rsidRDefault="00000000" w:rsidP="00634580">
      <w:pPr>
        <w:pStyle w:val="Bibliografa1"/>
        <w:spacing w:line="360" w:lineRule="auto"/>
        <w:rPr>
          <w:rFonts w:ascii="Arial" w:hAnsi="Arial" w:cs="Arial"/>
          <w:sz w:val="24"/>
          <w:szCs w:val="24"/>
          <w:lang w:val="fr-FR"/>
        </w:rPr>
      </w:pPr>
      <w:r w:rsidRPr="00634580">
        <w:rPr>
          <w:rFonts w:ascii="Arial" w:hAnsi="Arial" w:cs="Arial"/>
          <w:sz w:val="24"/>
          <w:szCs w:val="24"/>
          <w:lang w:val="en-GB"/>
        </w:rPr>
        <w:t xml:space="preserve">Akrich, M., Méadel, C., &amp; Rabeharisoa, V. (2013). </w:t>
      </w:r>
      <w:r w:rsidRPr="00634580">
        <w:rPr>
          <w:rFonts w:ascii="Arial" w:hAnsi="Arial" w:cs="Arial"/>
          <w:sz w:val="24"/>
          <w:szCs w:val="24"/>
          <w:lang w:val="fr-FR"/>
        </w:rPr>
        <w:t xml:space="preserve">Se mobiliser pour la santé: Des associations témoignent. In </w:t>
      </w:r>
      <w:r w:rsidRPr="00634580">
        <w:rPr>
          <w:rFonts w:ascii="Arial" w:hAnsi="Arial" w:cs="Arial"/>
          <w:i/>
          <w:iCs/>
          <w:sz w:val="24"/>
          <w:szCs w:val="24"/>
          <w:lang w:val="fr-FR"/>
        </w:rPr>
        <w:t>Se mobiliser pour la santé: Des associations témoignent</w:t>
      </w:r>
      <w:r w:rsidRPr="00634580">
        <w:rPr>
          <w:rFonts w:ascii="Arial" w:hAnsi="Arial" w:cs="Arial"/>
          <w:sz w:val="24"/>
          <w:szCs w:val="24"/>
          <w:lang w:val="fr-FR"/>
        </w:rPr>
        <w:t>. Presses des Mines. https://doi.org/10.4000/books.pressesmines.1467</w:t>
      </w:r>
    </w:p>
    <w:p w14:paraId="4201F237"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Akrich, M., &amp; Rabeharisoa, V. (2012). Lay Expertise in Patient Organizations: A Tool for Healthcare Democracy. </w:t>
      </w:r>
      <w:r w:rsidRPr="00634580">
        <w:rPr>
          <w:rFonts w:ascii="Arial" w:hAnsi="Arial" w:cs="Arial"/>
          <w:i/>
          <w:iCs/>
          <w:sz w:val="24"/>
          <w:szCs w:val="24"/>
          <w:lang w:val="en-GB"/>
        </w:rPr>
        <w:t>Sante Publique</w:t>
      </w:r>
      <w:r w:rsidRPr="00634580">
        <w:rPr>
          <w:rFonts w:ascii="Arial" w:hAnsi="Arial" w:cs="Arial"/>
          <w:sz w:val="24"/>
          <w:szCs w:val="24"/>
          <w:lang w:val="en-GB"/>
        </w:rPr>
        <w:t xml:space="preserve">, </w:t>
      </w:r>
      <w:r w:rsidRPr="00634580">
        <w:rPr>
          <w:rFonts w:ascii="Arial" w:hAnsi="Arial" w:cs="Arial"/>
          <w:i/>
          <w:iCs/>
          <w:sz w:val="24"/>
          <w:szCs w:val="24"/>
          <w:lang w:val="en-GB"/>
        </w:rPr>
        <w:t>24</w:t>
      </w:r>
      <w:r w:rsidRPr="00634580">
        <w:rPr>
          <w:rFonts w:ascii="Arial" w:hAnsi="Arial" w:cs="Arial"/>
          <w:sz w:val="24"/>
          <w:szCs w:val="24"/>
          <w:lang w:val="en-GB"/>
        </w:rPr>
        <w:t>(1), 69–74.</w:t>
      </w:r>
    </w:p>
    <w:p w14:paraId="5FB609D6"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Amin, A., &amp; Roberts, J. (2008). Knowing in action: Beyond communities of practice. </w:t>
      </w:r>
      <w:r w:rsidRPr="00634580">
        <w:rPr>
          <w:rFonts w:ascii="Arial" w:hAnsi="Arial" w:cs="Arial"/>
          <w:i/>
          <w:iCs/>
          <w:sz w:val="24"/>
          <w:szCs w:val="24"/>
          <w:lang w:val="en-GB"/>
        </w:rPr>
        <w:t>Research Policy</w:t>
      </w:r>
      <w:r w:rsidRPr="00634580">
        <w:rPr>
          <w:rFonts w:ascii="Arial" w:hAnsi="Arial" w:cs="Arial"/>
          <w:sz w:val="24"/>
          <w:szCs w:val="24"/>
          <w:lang w:val="en-GB"/>
        </w:rPr>
        <w:t xml:space="preserve">, </w:t>
      </w:r>
      <w:r w:rsidRPr="00634580">
        <w:rPr>
          <w:rFonts w:ascii="Arial" w:hAnsi="Arial" w:cs="Arial"/>
          <w:i/>
          <w:iCs/>
          <w:sz w:val="24"/>
          <w:szCs w:val="24"/>
          <w:lang w:val="en-GB"/>
        </w:rPr>
        <w:t>37</w:t>
      </w:r>
      <w:r w:rsidRPr="00634580">
        <w:rPr>
          <w:rFonts w:ascii="Arial" w:hAnsi="Arial" w:cs="Arial"/>
          <w:sz w:val="24"/>
          <w:szCs w:val="24"/>
          <w:lang w:val="en-GB"/>
        </w:rPr>
        <w:t>(2), 353–369. https://doi.org/10.1016/j.respol.2007.11.003</w:t>
      </w:r>
    </w:p>
    <w:p w14:paraId="65A4391F"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Ampartzaki, M., Kypriotaki, M., Voreadou, C., Dardioti, A., &amp; Stathi, I. (2013). Communities of practice and participatory action research: The formation of a synergy for the development of museum programmes for early childhood. </w:t>
      </w:r>
      <w:r w:rsidRPr="00634580">
        <w:rPr>
          <w:rFonts w:ascii="Arial" w:hAnsi="Arial" w:cs="Arial"/>
          <w:i/>
          <w:iCs/>
          <w:sz w:val="24"/>
          <w:szCs w:val="24"/>
          <w:lang w:val="en-GB"/>
        </w:rPr>
        <w:t>Educational Action Research</w:t>
      </w:r>
      <w:r w:rsidRPr="00634580">
        <w:rPr>
          <w:rFonts w:ascii="Arial" w:hAnsi="Arial" w:cs="Arial"/>
          <w:sz w:val="24"/>
          <w:szCs w:val="24"/>
          <w:lang w:val="en-GB"/>
        </w:rPr>
        <w:t xml:space="preserve">, </w:t>
      </w:r>
      <w:r w:rsidRPr="00634580">
        <w:rPr>
          <w:rFonts w:ascii="Arial" w:hAnsi="Arial" w:cs="Arial"/>
          <w:i/>
          <w:iCs/>
          <w:sz w:val="24"/>
          <w:szCs w:val="24"/>
          <w:lang w:val="en-GB"/>
        </w:rPr>
        <w:t>21</w:t>
      </w:r>
      <w:r w:rsidRPr="00634580">
        <w:rPr>
          <w:rFonts w:ascii="Arial" w:hAnsi="Arial" w:cs="Arial"/>
          <w:sz w:val="24"/>
          <w:szCs w:val="24"/>
          <w:lang w:val="en-GB"/>
        </w:rPr>
        <w:t>(1), 4–27. https://doi.org/10.1080/09650792.2013.761920</w:t>
      </w:r>
    </w:p>
    <w:p w14:paraId="6830470E"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Antoniades, A. (2003). Epistemic Communities, Epistemes and the Construction of (World) Politics. </w:t>
      </w:r>
      <w:r w:rsidRPr="00634580">
        <w:rPr>
          <w:rFonts w:ascii="Arial" w:hAnsi="Arial" w:cs="Arial"/>
          <w:i/>
          <w:iCs/>
          <w:sz w:val="24"/>
          <w:szCs w:val="24"/>
          <w:lang w:val="en-GB"/>
        </w:rPr>
        <w:t>Global Society</w:t>
      </w:r>
      <w:r w:rsidRPr="00634580">
        <w:rPr>
          <w:rFonts w:ascii="Arial" w:hAnsi="Arial" w:cs="Arial"/>
          <w:sz w:val="24"/>
          <w:szCs w:val="24"/>
          <w:lang w:val="en-GB"/>
        </w:rPr>
        <w:t xml:space="preserve">, </w:t>
      </w:r>
      <w:r w:rsidRPr="00634580">
        <w:rPr>
          <w:rFonts w:ascii="Arial" w:hAnsi="Arial" w:cs="Arial"/>
          <w:i/>
          <w:iCs/>
          <w:sz w:val="24"/>
          <w:szCs w:val="24"/>
          <w:lang w:val="en-GB"/>
        </w:rPr>
        <w:t>17</w:t>
      </w:r>
      <w:r w:rsidRPr="00634580">
        <w:rPr>
          <w:rFonts w:ascii="Arial" w:hAnsi="Arial" w:cs="Arial"/>
          <w:sz w:val="24"/>
          <w:szCs w:val="24"/>
          <w:lang w:val="en-GB"/>
        </w:rPr>
        <w:t>(1), 21–38. https://doi.org/10.1080/0953732032000053980</w:t>
      </w:r>
    </w:p>
    <w:p w14:paraId="1F22DA66"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lastRenderedPageBreak/>
        <w:t xml:space="preserve">Ardichvili, A. (2008). Learning and Knowledge Sharing in Virtual Communities of Practice: Motivators, Barriers, and Enablers. </w:t>
      </w:r>
      <w:r w:rsidRPr="00634580">
        <w:rPr>
          <w:rFonts w:ascii="Arial" w:hAnsi="Arial" w:cs="Arial"/>
          <w:i/>
          <w:iCs/>
          <w:sz w:val="24"/>
          <w:szCs w:val="24"/>
          <w:lang w:val="en-GB"/>
        </w:rPr>
        <w:t>Advances in Developing Human Resources</w:t>
      </w:r>
      <w:r w:rsidRPr="00634580">
        <w:rPr>
          <w:rFonts w:ascii="Arial" w:hAnsi="Arial" w:cs="Arial"/>
          <w:sz w:val="24"/>
          <w:szCs w:val="24"/>
          <w:lang w:val="en-GB"/>
        </w:rPr>
        <w:t xml:space="preserve">, </w:t>
      </w:r>
      <w:r w:rsidRPr="00634580">
        <w:rPr>
          <w:rFonts w:ascii="Arial" w:hAnsi="Arial" w:cs="Arial"/>
          <w:i/>
          <w:iCs/>
          <w:sz w:val="24"/>
          <w:szCs w:val="24"/>
          <w:lang w:val="en-GB"/>
        </w:rPr>
        <w:t>10</w:t>
      </w:r>
      <w:r w:rsidRPr="00634580">
        <w:rPr>
          <w:rFonts w:ascii="Arial" w:hAnsi="Arial" w:cs="Arial"/>
          <w:sz w:val="24"/>
          <w:szCs w:val="24"/>
          <w:lang w:val="en-GB"/>
        </w:rPr>
        <w:t>(4), 541–554. https://doi.org/10.1177/1523422308319536</w:t>
      </w:r>
    </w:p>
    <w:p w14:paraId="17214DA1"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Atkins, S., Marsden, S., Diwan, V., &amp; Zwarenstein, M. (2016). North–south collaboration and capacity development in global health research in low- and middle-income countries – the ARCADE projects. </w:t>
      </w:r>
      <w:r w:rsidRPr="00634580">
        <w:rPr>
          <w:rFonts w:ascii="Arial" w:hAnsi="Arial" w:cs="Arial"/>
          <w:i/>
          <w:iCs/>
          <w:sz w:val="24"/>
          <w:szCs w:val="24"/>
          <w:lang w:val="en-GB"/>
        </w:rPr>
        <w:t>Global Health Action</w:t>
      </w:r>
      <w:r w:rsidRPr="00634580">
        <w:rPr>
          <w:rFonts w:ascii="Arial" w:hAnsi="Arial" w:cs="Arial"/>
          <w:sz w:val="24"/>
          <w:szCs w:val="24"/>
          <w:lang w:val="en-GB"/>
        </w:rPr>
        <w:t xml:space="preserve">, </w:t>
      </w:r>
      <w:r w:rsidRPr="00634580">
        <w:rPr>
          <w:rFonts w:ascii="Arial" w:hAnsi="Arial" w:cs="Arial"/>
          <w:i/>
          <w:iCs/>
          <w:sz w:val="24"/>
          <w:szCs w:val="24"/>
          <w:lang w:val="en-GB"/>
        </w:rPr>
        <w:t>9</w:t>
      </w:r>
      <w:r w:rsidRPr="00634580">
        <w:rPr>
          <w:rFonts w:ascii="Arial" w:hAnsi="Arial" w:cs="Arial"/>
          <w:sz w:val="24"/>
          <w:szCs w:val="24"/>
          <w:lang w:val="en-GB"/>
        </w:rPr>
        <w:t>(1), 30524. https://doi.org/10.3402/gha.v9.30524</w:t>
      </w:r>
    </w:p>
    <w:p w14:paraId="73ABD368"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Beaglehole, R., &amp; Bonita, R. (2008). Global public health: A scorecard. </w:t>
      </w:r>
      <w:r w:rsidRPr="00634580">
        <w:rPr>
          <w:rFonts w:ascii="Arial" w:hAnsi="Arial" w:cs="Arial"/>
          <w:i/>
          <w:iCs/>
          <w:sz w:val="24"/>
          <w:szCs w:val="24"/>
          <w:lang w:val="en-GB"/>
        </w:rPr>
        <w:t>The Lancet</w:t>
      </w:r>
      <w:r w:rsidRPr="00634580">
        <w:rPr>
          <w:rFonts w:ascii="Arial" w:hAnsi="Arial" w:cs="Arial"/>
          <w:sz w:val="24"/>
          <w:szCs w:val="24"/>
          <w:lang w:val="en-GB"/>
        </w:rPr>
        <w:t xml:space="preserve">, </w:t>
      </w:r>
      <w:r w:rsidRPr="00634580">
        <w:rPr>
          <w:rFonts w:ascii="Arial" w:hAnsi="Arial" w:cs="Arial"/>
          <w:i/>
          <w:iCs/>
          <w:sz w:val="24"/>
          <w:szCs w:val="24"/>
          <w:lang w:val="en-GB"/>
        </w:rPr>
        <w:t>372</w:t>
      </w:r>
      <w:r w:rsidRPr="00634580">
        <w:rPr>
          <w:rFonts w:ascii="Arial" w:hAnsi="Arial" w:cs="Arial"/>
          <w:sz w:val="24"/>
          <w:szCs w:val="24"/>
          <w:lang w:val="en-GB"/>
        </w:rPr>
        <w:t>(9654), 1988–1996. https://doi.org/10.1016/S0140-6736(08)61558-5</w:t>
      </w:r>
    </w:p>
    <w:p w14:paraId="21DA2648"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Besson, E. S. K. (2022). How to identify epistemic injustice in global health research funding practices: A decolonial guide. </w:t>
      </w:r>
      <w:r w:rsidRPr="00634580">
        <w:rPr>
          <w:rFonts w:ascii="Arial" w:hAnsi="Arial" w:cs="Arial"/>
          <w:i/>
          <w:iCs/>
          <w:sz w:val="24"/>
          <w:szCs w:val="24"/>
          <w:lang w:val="en-GB"/>
        </w:rPr>
        <w:t>BMJ Global Health</w:t>
      </w:r>
      <w:r w:rsidRPr="00634580">
        <w:rPr>
          <w:rFonts w:ascii="Arial" w:hAnsi="Arial" w:cs="Arial"/>
          <w:sz w:val="24"/>
          <w:szCs w:val="24"/>
          <w:lang w:val="en-GB"/>
        </w:rPr>
        <w:t xml:space="preserve">, </w:t>
      </w:r>
      <w:r w:rsidRPr="00634580">
        <w:rPr>
          <w:rFonts w:ascii="Arial" w:hAnsi="Arial" w:cs="Arial"/>
          <w:i/>
          <w:iCs/>
          <w:sz w:val="24"/>
          <w:szCs w:val="24"/>
          <w:lang w:val="en-GB"/>
        </w:rPr>
        <w:t>7</w:t>
      </w:r>
      <w:r w:rsidRPr="00634580">
        <w:rPr>
          <w:rFonts w:ascii="Arial" w:hAnsi="Arial" w:cs="Arial"/>
          <w:sz w:val="24"/>
          <w:szCs w:val="24"/>
          <w:lang w:val="en-GB"/>
        </w:rPr>
        <w:t>(4), e008950. https://doi.org/10.1136/bmjgh-2022-008950</w:t>
      </w:r>
    </w:p>
    <w:p w14:paraId="48FB6867"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Bhakuni, H., &amp; Abimbola, S. (2021). Epistemic injustice in academic global health. </w:t>
      </w:r>
      <w:r w:rsidRPr="00634580">
        <w:rPr>
          <w:rFonts w:ascii="Arial" w:hAnsi="Arial" w:cs="Arial"/>
          <w:i/>
          <w:iCs/>
          <w:sz w:val="24"/>
          <w:szCs w:val="24"/>
          <w:lang w:val="en-GB"/>
        </w:rPr>
        <w:t>The Lancet Global Health</w:t>
      </w:r>
      <w:r w:rsidRPr="00634580">
        <w:rPr>
          <w:rFonts w:ascii="Arial" w:hAnsi="Arial" w:cs="Arial"/>
          <w:sz w:val="24"/>
          <w:szCs w:val="24"/>
          <w:lang w:val="en-GB"/>
        </w:rPr>
        <w:t xml:space="preserve">, </w:t>
      </w:r>
      <w:r w:rsidRPr="00634580">
        <w:rPr>
          <w:rFonts w:ascii="Arial" w:hAnsi="Arial" w:cs="Arial"/>
          <w:i/>
          <w:iCs/>
          <w:sz w:val="24"/>
          <w:szCs w:val="24"/>
          <w:lang w:val="en-GB"/>
        </w:rPr>
        <w:t>9</w:t>
      </w:r>
      <w:r w:rsidRPr="00634580">
        <w:rPr>
          <w:rFonts w:ascii="Arial" w:hAnsi="Arial" w:cs="Arial"/>
          <w:sz w:val="24"/>
          <w:szCs w:val="24"/>
          <w:lang w:val="en-GB"/>
        </w:rPr>
        <w:t>(10), e1465–e1470. https://doi.org/10.1016/S2214-109X(21)00301-6</w:t>
      </w:r>
    </w:p>
    <w:p w14:paraId="6FE125DC"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Bhutta, Z. A. (2002). Ethics in international health research: A perspective from the developing world. </w:t>
      </w:r>
      <w:r w:rsidRPr="00634580">
        <w:rPr>
          <w:rFonts w:ascii="Arial" w:hAnsi="Arial" w:cs="Arial"/>
          <w:i/>
          <w:iCs/>
          <w:sz w:val="24"/>
          <w:szCs w:val="24"/>
          <w:lang w:val="en-GB"/>
        </w:rPr>
        <w:t>Bulletin of the World Health Organization</w:t>
      </w:r>
      <w:r w:rsidRPr="00634580">
        <w:rPr>
          <w:rFonts w:ascii="Arial" w:hAnsi="Arial" w:cs="Arial"/>
          <w:sz w:val="24"/>
          <w:szCs w:val="24"/>
          <w:lang w:val="en-GB"/>
        </w:rPr>
        <w:t xml:space="preserve">, </w:t>
      </w:r>
      <w:r w:rsidRPr="00634580">
        <w:rPr>
          <w:rFonts w:ascii="Arial" w:hAnsi="Arial" w:cs="Arial"/>
          <w:i/>
          <w:iCs/>
          <w:sz w:val="24"/>
          <w:szCs w:val="24"/>
          <w:lang w:val="en-GB"/>
        </w:rPr>
        <w:t>80</w:t>
      </w:r>
      <w:r w:rsidRPr="00634580">
        <w:rPr>
          <w:rFonts w:ascii="Arial" w:hAnsi="Arial" w:cs="Arial"/>
          <w:sz w:val="24"/>
          <w:szCs w:val="24"/>
          <w:lang w:val="en-GB"/>
        </w:rPr>
        <w:t>, 114–120. https://doi.org/10.1590/S0042-96862002000200006</w:t>
      </w:r>
    </w:p>
    <w:p w14:paraId="2B765F16" w14:textId="77777777" w:rsidR="0093626A" w:rsidRPr="00634580" w:rsidRDefault="00000000" w:rsidP="00634580">
      <w:pPr>
        <w:pStyle w:val="Bibliografa1"/>
        <w:spacing w:line="360" w:lineRule="auto"/>
        <w:rPr>
          <w:rFonts w:ascii="Arial" w:hAnsi="Arial" w:cs="Arial"/>
          <w:sz w:val="24"/>
          <w:szCs w:val="24"/>
          <w:lang w:val="pt-PT"/>
        </w:rPr>
      </w:pPr>
      <w:r w:rsidRPr="00634580">
        <w:rPr>
          <w:rFonts w:ascii="Arial" w:hAnsi="Arial" w:cs="Arial"/>
          <w:sz w:val="24"/>
          <w:szCs w:val="24"/>
          <w:lang w:val="pt-PT"/>
        </w:rPr>
        <w:t xml:space="preserve">Bispo Júnior, J. P., &amp; Morais, M. B. (2020). </w:t>
      </w:r>
      <w:r w:rsidRPr="00634580">
        <w:rPr>
          <w:rFonts w:ascii="Arial" w:hAnsi="Arial" w:cs="Arial"/>
          <w:sz w:val="24"/>
          <w:szCs w:val="24"/>
          <w:lang w:val="en-GB"/>
        </w:rPr>
        <w:t xml:space="preserve">Community participation in the fight against COVID-19: Between utilitarianism and social justice. </w:t>
      </w:r>
      <w:r w:rsidRPr="00634580">
        <w:rPr>
          <w:rFonts w:ascii="Arial" w:hAnsi="Arial" w:cs="Arial"/>
          <w:i/>
          <w:iCs/>
          <w:sz w:val="24"/>
          <w:szCs w:val="24"/>
          <w:lang w:val="pt-PT"/>
        </w:rPr>
        <w:t>Cadernos de Saúde Pública</w:t>
      </w:r>
      <w:r w:rsidRPr="00634580">
        <w:rPr>
          <w:rFonts w:ascii="Arial" w:hAnsi="Arial" w:cs="Arial"/>
          <w:sz w:val="24"/>
          <w:szCs w:val="24"/>
          <w:lang w:val="pt-PT"/>
        </w:rPr>
        <w:t xml:space="preserve">, </w:t>
      </w:r>
      <w:r w:rsidRPr="00634580">
        <w:rPr>
          <w:rFonts w:ascii="Arial" w:hAnsi="Arial" w:cs="Arial"/>
          <w:i/>
          <w:iCs/>
          <w:sz w:val="24"/>
          <w:szCs w:val="24"/>
          <w:lang w:val="pt-PT"/>
        </w:rPr>
        <w:t>36</w:t>
      </w:r>
      <w:r w:rsidRPr="00634580">
        <w:rPr>
          <w:rFonts w:ascii="Arial" w:hAnsi="Arial" w:cs="Arial"/>
          <w:sz w:val="24"/>
          <w:szCs w:val="24"/>
          <w:lang w:val="pt-PT"/>
        </w:rPr>
        <w:t>, e00151620. https://doi.org/10.1590/0102-311x00151620</w:t>
      </w:r>
    </w:p>
    <w:p w14:paraId="772A93B3"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pt-PT"/>
        </w:rPr>
        <w:t xml:space="preserve">Boulton, A., &amp; Gifford, H. (2012). </w:t>
      </w:r>
      <w:r w:rsidRPr="00634580">
        <w:rPr>
          <w:rFonts w:ascii="Arial" w:hAnsi="Arial" w:cs="Arial"/>
          <w:sz w:val="24"/>
          <w:szCs w:val="24"/>
          <w:lang w:val="en-GB"/>
        </w:rPr>
        <w:t xml:space="preserve">Blurred Boundaries in Participatory Action Research: When a Critical Friend becomes too Critical to Project Implementation and Sustainability. </w:t>
      </w:r>
      <w:r w:rsidRPr="00634580">
        <w:rPr>
          <w:rFonts w:ascii="Arial" w:hAnsi="Arial" w:cs="Arial"/>
          <w:i/>
          <w:iCs/>
          <w:sz w:val="24"/>
          <w:szCs w:val="24"/>
          <w:lang w:val="en-GB"/>
        </w:rPr>
        <w:t>Evaluation Journal of Australasia</w:t>
      </w:r>
      <w:r w:rsidRPr="00634580">
        <w:rPr>
          <w:rFonts w:ascii="Arial" w:hAnsi="Arial" w:cs="Arial"/>
          <w:sz w:val="24"/>
          <w:szCs w:val="24"/>
          <w:lang w:val="en-GB"/>
        </w:rPr>
        <w:t xml:space="preserve">, </w:t>
      </w:r>
      <w:r w:rsidRPr="00634580">
        <w:rPr>
          <w:rFonts w:ascii="Arial" w:hAnsi="Arial" w:cs="Arial"/>
          <w:i/>
          <w:iCs/>
          <w:sz w:val="24"/>
          <w:szCs w:val="24"/>
          <w:lang w:val="en-GB"/>
        </w:rPr>
        <w:t>12</w:t>
      </w:r>
      <w:r w:rsidRPr="00634580">
        <w:rPr>
          <w:rFonts w:ascii="Arial" w:hAnsi="Arial" w:cs="Arial"/>
          <w:sz w:val="24"/>
          <w:szCs w:val="24"/>
          <w:lang w:val="en-GB"/>
        </w:rPr>
        <w:t>(2), 40–45. https://doi.org/10.1177/1035719X1201200205</w:t>
      </w:r>
    </w:p>
    <w:p w14:paraId="37712986"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Bourke, L. (2009). Reflections on doing participatory research in health: Participation, method and power. </w:t>
      </w:r>
      <w:r w:rsidRPr="00634580">
        <w:rPr>
          <w:rFonts w:ascii="Arial" w:hAnsi="Arial" w:cs="Arial"/>
          <w:i/>
          <w:iCs/>
          <w:sz w:val="24"/>
          <w:szCs w:val="24"/>
          <w:lang w:val="en-GB"/>
        </w:rPr>
        <w:t>International Journal of Social Research Methodology</w:t>
      </w:r>
      <w:r w:rsidRPr="00634580">
        <w:rPr>
          <w:rFonts w:ascii="Arial" w:hAnsi="Arial" w:cs="Arial"/>
          <w:sz w:val="24"/>
          <w:szCs w:val="24"/>
          <w:lang w:val="en-GB"/>
        </w:rPr>
        <w:t xml:space="preserve">, </w:t>
      </w:r>
      <w:r w:rsidRPr="00634580">
        <w:rPr>
          <w:rFonts w:ascii="Arial" w:hAnsi="Arial" w:cs="Arial"/>
          <w:i/>
          <w:iCs/>
          <w:sz w:val="24"/>
          <w:szCs w:val="24"/>
          <w:lang w:val="en-GB"/>
        </w:rPr>
        <w:t>12</w:t>
      </w:r>
      <w:r w:rsidRPr="00634580">
        <w:rPr>
          <w:rFonts w:ascii="Arial" w:hAnsi="Arial" w:cs="Arial"/>
          <w:sz w:val="24"/>
          <w:szCs w:val="24"/>
          <w:lang w:val="en-GB"/>
        </w:rPr>
        <w:t>(5), 457–474. https://doi.org/10.1080/13645570802373676</w:t>
      </w:r>
    </w:p>
    <w:p w14:paraId="0B52B7F3" w14:textId="77777777" w:rsidR="0093626A" w:rsidRPr="00634580" w:rsidRDefault="00000000" w:rsidP="00634580">
      <w:pPr>
        <w:pStyle w:val="Bibliografa1"/>
        <w:spacing w:line="360" w:lineRule="auto"/>
        <w:rPr>
          <w:rFonts w:ascii="Arial" w:hAnsi="Arial" w:cs="Arial"/>
          <w:sz w:val="24"/>
          <w:szCs w:val="24"/>
          <w:lang w:val="fr-FR"/>
        </w:rPr>
      </w:pPr>
      <w:r w:rsidRPr="00634580">
        <w:rPr>
          <w:rFonts w:ascii="Arial" w:hAnsi="Arial" w:cs="Arial"/>
          <w:sz w:val="24"/>
          <w:szCs w:val="24"/>
          <w:lang w:val="en-GB"/>
        </w:rPr>
        <w:t xml:space="preserve">Brun, P. (2017). </w:t>
      </w:r>
      <w:r w:rsidRPr="00634580">
        <w:rPr>
          <w:rFonts w:ascii="Arial" w:hAnsi="Arial" w:cs="Arial"/>
          <w:sz w:val="24"/>
          <w:szCs w:val="24"/>
          <w:lang w:val="fr-FR"/>
        </w:rPr>
        <w:t xml:space="preserve">Le croisement des savoirs dans les recherches participatives. Questions épistémologiques. </w:t>
      </w:r>
      <w:r w:rsidRPr="00634580">
        <w:rPr>
          <w:rFonts w:ascii="Arial" w:hAnsi="Arial" w:cs="Arial"/>
          <w:i/>
          <w:iCs/>
          <w:sz w:val="24"/>
          <w:szCs w:val="24"/>
          <w:lang w:val="fr-FR"/>
        </w:rPr>
        <w:t>Vie sociale</w:t>
      </w:r>
      <w:r w:rsidRPr="00634580">
        <w:rPr>
          <w:rFonts w:ascii="Arial" w:hAnsi="Arial" w:cs="Arial"/>
          <w:sz w:val="24"/>
          <w:szCs w:val="24"/>
          <w:lang w:val="fr-FR"/>
        </w:rPr>
        <w:t xml:space="preserve">, </w:t>
      </w:r>
      <w:r w:rsidRPr="00634580">
        <w:rPr>
          <w:rFonts w:ascii="Arial" w:hAnsi="Arial" w:cs="Arial"/>
          <w:i/>
          <w:iCs/>
          <w:sz w:val="24"/>
          <w:szCs w:val="24"/>
          <w:lang w:val="fr-FR"/>
        </w:rPr>
        <w:t>n° 20</w:t>
      </w:r>
      <w:r w:rsidRPr="00634580">
        <w:rPr>
          <w:rFonts w:ascii="Arial" w:hAnsi="Arial" w:cs="Arial"/>
          <w:sz w:val="24"/>
          <w:szCs w:val="24"/>
          <w:lang w:val="fr-FR"/>
        </w:rPr>
        <w:t>(4), 45–52.</w:t>
      </w:r>
    </w:p>
    <w:p w14:paraId="7F679694"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fr-FR"/>
        </w:rPr>
        <w:lastRenderedPageBreak/>
        <w:t xml:space="preserve">Budig, K., Diez, J., Conde, P., Sastre, M., Hernán, M., &amp; Franco, M. (2018). </w:t>
      </w:r>
      <w:r w:rsidRPr="00634580">
        <w:rPr>
          <w:rFonts w:ascii="Arial" w:hAnsi="Arial" w:cs="Arial"/>
          <w:sz w:val="24"/>
          <w:szCs w:val="24"/>
          <w:lang w:val="en-GB"/>
        </w:rPr>
        <w:t xml:space="preserve">Photovoice and empowerment: Evaluating the transformative potential of a participatory action research project. </w:t>
      </w:r>
      <w:r w:rsidRPr="00634580">
        <w:rPr>
          <w:rFonts w:ascii="Arial" w:hAnsi="Arial" w:cs="Arial"/>
          <w:i/>
          <w:iCs/>
          <w:sz w:val="24"/>
          <w:szCs w:val="24"/>
          <w:lang w:val="en-GB"/>
        </w:rPr>
        <w:t>BMC Public Health</w:t>
      </w:r>
      <w:r w:rsidRPr="00634580">
        <w:rPr>
          <w:rFonts w:ascii="Arial" w:hAnsi="Arial" w:cs="Arial"/>
          <w:sz w:val="24"/>
          <w:szCs w:val="24"/>
          <w:lang w:val="en-GB"/>
        </w:rPr>
        <w:t xml:space="preserve">, </w:t>
      </w:r>
      <w:r w:rsidRPr="00634580">
        <w:rPr>
          <w:rFonts w:ascii="Arial" w:hAnsi="Arial" w:cs="Arial"/>
          <w:i/>
          <w:iCs/>
          <w:sz w:val="24"/>
          <w:szCs w:val="24"/>
          <w:lang w:val="en-GB"/>
        </w:rPr>
        <w:t>18</w:t>
      </w:r>
      <w:r w:rsidRPr="00634580">
        <w:rPr>
          <w:rFonts w:ascii="Arial" w:hAnsi="Arial" w:cs="Arial"/>
          <w:sz w:val="24"/>
          <w:szCs w:val="24"/>
          <w:lang w:val="en-GB"/>
        </w:rPr>
        <w:t>(1), 432. https://doi.org/10.1186/s12889-018-5335-7</w:t>
      </w:r>
    </w:p>
    <w:p w14:paraId="44089989" w14:textId="77777777" w:rsidR="0093626A" w:rsidRPr="00634580" w:rsidRDefault="00000000" w:rsidP="00634580">
      <w:pPr>
        <w:pStyle w:val="Bibliografa1"/>
        <w:spacing w:line="360" w:lineRule="auto"/>
        <w:rPr>
          <w:rFonts w:ascii="Arial" w:hAnsi="Arial" w:cs="Arial"/>
          <w:sz w:val="24"/>
          <w:szCs w:val="24"/>
          <w:lang w:val="fr-FR"/>
        </w:rPr>
      </w:pPr>
      <w:r w:rsidRPr="00634580">
        <w:rPr>
          <w:rFonts w:ascii="Arial" w:hAnsi="Arial" w:cs="Arial"/>
          <w:sz w:val="24"/>
          <w:szCs w:val="24"/>
          <w:lang w:val="en-GB"/>
        </w:rPr>
        <w:t xml:space="preserve">Buss, P. M. (2020). </w:t>
      </w:r>
      <w:r w:rsidRPr="00634580">
        <w:rPr>
          <w:rFonts w:ascii="Arial" w:hAnsi="Arial" w:cs="Arial"/>
          <w:sz w:val="24"/>
          <w:szCs w:val="24"/>
          <w:lang w:val="pt-PT"/>
        </w:rPr>
        <w:t xml:space="preserve">De pandemias, desenvolvimento e multilateralismo. </w:t>
      </w:r>
      <w:r w:rsidRPr="00634580">
        <w:rPr>
          <w:rFonts w:ascii="Arial" w:hAnsi="Arial" w:cs="Arial"/>
          <w:i/>
          <w:iCs/>
          <w:sz w:val="24"/>
          <w:szCs w:val="24"/>
          <w:lang w:val="fr-FR"/>
        </w:rPr>
        <w:t>Le Monde Diplomatique</w:t>
      </w:r>
      <w:r w:rsidRPr="00634580">
        <w:rPr>
          <w:rFonts w:ascii="Arial" w:hAnsi="Arial" w:cs="Arial"/>
          <w:sz w:val="24"/>
          <w:szCs w:val="24"/>
          <w:lang w:val="fr-FR"/>
        </w:rPr>
        <w:t>. https://diplomatique.org.br/de-pandemias-desenvolvimento-e-multilateralismo/</w:t>
      </w:r>
    </w:p>
    <w:p w14:paraId="18F6FAA8"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s-MX"/>
        </w:rPr>
        <w:t xml:space="preserve">Cargo, M., &amp; Mercer, S. L. (2008). </w:t>
      </w:r>
      <w:r w:rsidRPr="00634580">
        <w:rPr>
          <w:rFonts w:ascii="Arial" w:hAnsi="Arial" w:cs="Arial"/>
          <w:sz w:val="24"/>
          <w:szCs w:val="24"/>
          <w:lang w:val="en-GB"/>
        </w:rPr>
        <w:t xml:space="preserve">The Value and Challenges of Participatory Research: Strengthening Its Practice. </w:t>
      </w:r>
      <w:r w:rsidRPr="00634580">
        <w:rPr>
          <w:rFonts w:ascii="Arial" w:hAnsi="Arial" w:cs="Arial"/>
          <w:i/>
          <w:iCs/>
          <w:sz w:val="24"/>
          <w:szCs w:val="24"/>
          <w:lang w:val="en-GB"/>
        </w:rPr>
        <w:t>Annual Review of Public Health</w:t>
      </w:r>
      <w:r w:rsidRPr="00634580">
        <w:rPr>
          <w:rFonts w:ascii="Arial" w:hAnsi="Arial" w:cs="Arial"/>
          <w:sz w:val="24"/>
          <w:szCs w:val="24"/>
          <w:lang w:val="en-GB"/>
        </w:rPr>
        <w:t xml:space="preserve">, </w:t>
      </w:r>
      <w:r w:rsidRPr="00634580">
        <w:rPr>
          <w:rFonts w:ascii="Arial" w:hAnsi="Arial" w:cs="Arial"/>
          <w:i/>
          <w:iCs/>
          <w:sz w:val="24"/>
          <w:szCs w:val="24"/>
          <w:lang w:val="en-GB"/>
        </w:rPr>
        <w:t>29</w:t>
      </w:r>
      <w:r w:rsidRPr="00634580">
        <w:rPr>
          <w:rFonts w:ascii="Arial" w:hAnsi="Arial" w:cs="Arial"/>
          <w:sz w:val="24"/>
          <w:szCs w:val="24"/>
          <w:lang w:val="en-GB"/>
        </w:rPr>
        <w:t>(1), 325–350. https://doi.org/10.1146/annurev.publhealth.29.091307.083824</w:t>
      </w:r>
    </w:p>
    <w:p w14:paraId="55FAC95C"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Carrier, J. (2019). Implementing evidence in local and global contexts. </w:t>
      </w:r>
      <w:r w:rsidRPr="00634580">
        <w:rPr>
          <w:rFonts w:ascii="Arial" w:hAnsi="Arial" w:cs="Arial"/>
          <w:i/>
          <w:iCs/>
          <w:sz w:val="24"/>
          <w:szCs w:val="24"/>
          <w:lang w:val="en-GB"/>
        </w:rPr>
        <w:t>International Journal of Evidence-Based Healthcare</w:t>
      </w:r>
      <w:r w:rsidRPr="00634580">
        <w:rPr>
          <w:rFonts w:ascii="Arial" w:hAnsi="Arial" w:cs="Arial"/>
          <w:sz w:val="24"/>
          <w:szCs w:val="24"/>
          <w:lang w:val="en-GB"/>
        </w:rPr>
        <w:t xml:space="preserve">, </w:t>
      </w:r>
      <w:r w:rsidRPr="00634580">
        <w:rPr>
          <w:rFonts w:ascii="Arial" w:hAnsi="Arial" w:cs="Arial"/>
          <w:i/>
          <w:iCs/>
          <w:sz w:val="24"/>
          <w:szCs w:val="24"/>
          <w:lang w:val="en-GB"/>
        </w:rPr>
        <w:t>17 Suppl 1</w:t>
      </w:r>
      <w:r w:rsidRPr="00634580">
        <w:rPr>
          <w:rFonts w:ascii="Arial" w:hAnsi="Arial" w:cs="Arial"/>
          <w:sz w:val="24"/>
          <w:szCs w:val="24"/>
          <w:lang w:val="en-GB"/>
        </w:rPr>
        <w:t>, S22–S23. https://doi.org/10.1097/XEB.0000000000000182</w:t>
      </w:r>
    </w:p>
    <w:p w14:paraId="110BAF75"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Collins, T. (2003). Globalization, global health, and access to healthcare. </w:t>
      </w:r>
      <w:r w:rsidRPr="00634580">
        <w:rPr>
          <w:rFonts w:ascii="Arial" w:hAnsi="Arial" w:cs="Arial"/>
          <w:i/>
          <w:iCs/>
          <w:sz w:val="24"/>
          <w:szCs w:val="24"/>
          <w:lang w:val="en-GB"/>
        </w:rPr>
        <w:t>The International Journal of Health Planning and Management</w:t>
      </w:r>
      <w:r w:rsidRPr="00634580">
        <w:rPr>
          <w:rFonts w:ascii="Arial" w:hAnsi="Arial" w:cs="Arial"/>
          <w:sz w:val="24"/>
          <w:szCs w:val="24"/>
          <w:lang w:val="en-GB"/>
        </w:rPr>
        <w:t xml:space="preserve">, </w:t>
      </w:r>
      <w:r w:rsidRPr="00634580">
        <w:rPr>
          <w:rFonts w:ascii="Arial" w:hAnsi="Arial" w:cs="Arial"/>
          <w:i/>
          <w:iCs/>
          <w:sz w:val="24"/>
          <w:szCs w:val="24"/>
          <w:lang w:val="en-GB"/>
        </w:rPr>
        <w:t>18</w:t>
      </w:r>
      <w:r w:rsidRPr="00634580">
        <w:rPr>
          <w:rFonts w:ascii="Arial" w:hAnsi="Arial" w:cs="Arial"/>
          <w:sz w:val="24"/>
          <w:szCs w:val="24"/>
          <w:lang w:val="en-GB"/>
        </w:rPr>
        <w:t>(2), 97–104. https://doi.org/10.1002/hpm.698</w:t>
      </w:r>
    </w:p>
    <w:p w14:paraId="0856D79A"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Contu, A. (2014). On boundaries and difference: Communities of practice and power relations in creative work. </w:t>
      </w:r>
      <w:r w:rsidRPr="00634580">
        <w:rPr>
          <w:rFonts w:ascii="Arial" w:hAnsi="Arial" w:cs="Arial"/>
          <w:i/>
          <w:iCs/>
          <w:sz w:val="24"/>
          <w:szCs w:val="24"/>
          <w:lang w:val="en-GB"/>
        </w:rPr>
        <w:t>Management Learning</w:t>
      </w:r>
      <w:r w:rsidRPr="00634580">
        <w:rPr>
          <w:rFonts w:ascii="Arial" w:hAnsi="Arial" w:cs="Arial"/>
          <w:sz w:val="24"/>
          <w:szCs w:val="24"/>
          <w:lang w:val="en-GB"/>
        </w:rPr>
        <w:t xml:space="preserve">, </w:t>
      </w:r>
      <w:r w:rsidRPr="00634580">
        <w:rPr>
          <w:rFonts w:ascii="Arial" w:hAnsi="Arial" w:cs="Arial"/>
          <w:i/>
          <w:iCs/>
          <w:sz w:val="24"/>
          <w:szCs w:val="24"/>
          <w:lang w:val="en-GB"/>
        </w:rPr>
        <w:t>45</w:t>
      </w:r>
      <w:r w:rsidRPr="00634580">
        <w:rPr>
          <w:rFonts w:ascii="Arial" w:hAnsi="Arial" w:cs="Arial"/>
          <w:sz w:val="24"/>
          <w:szCs w:val="24"/>
          <w:lang w:val="en-GB"/>
        </w:rPr>
        <w:t>(3), 289–316. https://doi.org/10.1177/1350507612471926</w:t>
      </w:r>
    </w:p>
    <w:p w14:paraId="0699D5FD"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Cornwall, A., &amp; Coelho, V. S. (2007). </w:t>
      </w:r>
      <w:r w:rsidRPr="00634580">
        <w:rPr>
          <w:rFonts w:ascii="Arial" w:hAnsi="Arial" w:cs="Arial"/>
          <w:i/>
          <w:iCs/>
          <w:sz w:val="24"/>
          <w:szCs w:val="24"/>
          <w:lang w:val="en-GB"/>
        </w:rPr>
        <w:t>Spaces for Change?: The Politics of Citizen Participation in New Democratic Arenas</w:t>
      </w:r>
      <w:r w:rsidRPr="00634580">
        <w:rPr>
          <w:rFonts w:ascii="Arial" w:hAnsi="Arial" w:cs="Arial"/>
          <w:sz w:val="24"/>
          <w:szCs w:val="24"/>
          <w:lang w:val="en-GB"/>
        </w:rPr>
        <w:t>. Zed Books.</w:t>
      </w:r>
    </w:p>
    <w:p w14:paraId="56B2F060"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Cross, M. K. D. (2013). Rethinking epistemic communities twenty years later. </w:t>
      </w:r>
      <w:r w:rsidRPr="00634580">
        <w:rPr>
          <w:rFonts w:ascii="Arial" w:hAnsi="Arial" w:cs="Arial"/>
          <w:i/>
          <w:iCs/>
          <w:sz w:val="24"/>
          <w:szCs w:val="24"/>
          <w:lang w:val="en-GB"/>
        </w:rPr>
        <w:t>Review of International Studies</w:t>
      </w:r>
      <w:r w:rsidRPr="00634580">
        <w:rPr>
          <w:rFonts w:ascii="Arial" w:hAnsi="Arial" w:cs="Arial"/>
          <w:sz w:val="24"/>
          <w:szCs w:val="24"/>
          <w:lang w:val="en-GB"/>
        </w:rPr>
        <w:t xml:space="preserve">, </w:t>
      </w:r>
      <w:r w:rsidRPr="00634580">
        <w:rPr>
          <w:rFonts w:ascii="Arial" w:hAnsi="Arial" w:cs="Arial"/>
          <w:i/>
          <w:iCs/>
          <w:sz w:val="24"/>
          <w:szCs w:val="24"/>
          <w:lang w:val="en-GB"/>
        </w:rPr>
        <w:t>39</w:t>
      </w:r>
      <w:r w:rsidRPr="00634580">
        <w:rPr>
          <w:rFonts w:ascii="Arial" w:hAnsi="Arial" w:cs="Arial"/>
          <w:sz w:val="24"/>
          <w:szCs w:val="24"/>
          <w:lang w:val="en-GB"/>
        </w:rPr>
        <w:t>(1), 137–160. https://doi.org/10.1017/S0260210512000034</w:t>
      </w:r>
    </w:p>
    <w:p w14:paraId="29BC65D3"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Dalglish, S. L., George, A., Shearer, J. C., &amp; Bennett, S. (2015). Epistemic communities in global health and the development of child survival policy: A case study of iCCM. </w:t>
      </w:r>
      <w:r w:rsidRPr="00634580">
        <w:rPr>
          <w:rFonts w:ascii="Arial" w:hAnsi="Arial" w:cs="Arial"/>
          <w:i/>
          <w:iCs/>
          <w:sz w:val="24"/>
          <w:szCs w:val="24"/>
          <w:lang w:val="en-GB"/>
        </w:rPr>
        <w:t>Health Policy and Planning</w:t>
      </w:r>
      <w:r w:rsidRPr="00634580">
        <w:rPr>
          <w:rFonts w:ascii="Arial" w:hAnsi="Arial" w:cs="Arial"/>
          <w:sz w:val="24"/>
          <w:szCs w:val="24"/>
          <w:lang w:val="en-GB"/>
        </w:rPr>
        <w:t xml:space="preserve">, </w:t>
      </w:r>
      <w:r w:rsidRPr="00634580">
        <w:rPr>
          <w:rFonts w:ascii="Arial" w:hAnsi="Arial" w:cs="Arial"/>
          <w:i/>
          <w:iCs/>
          <w:sz w:val="24"/>
          <w:szCs w:val="24"/>
          <w:lang w:val="en-GB"/>
        </w:rPr>
        <w:t>30</w:t>
      </w:r>
      <w:r w:rsidRPr="00634580">
        <w:rPr>
          <w:rFonts w:ascii="Arial" w:hAnsi="Arial" w:cs="Arial"/>
          <w:sz w:val="24"/>
          <w:szCs w:val="24"/>
          <w:lang w:val="en-GB"/>
        </w:rPr>
        <w:t>(suppl_2), ii12–ii25. https://doi.org/10.1093/heapol/czv043</w:t>
      </w:r>
    </w:p>
    <w:p w14:paraId="3B9B060D" w14:textId="77777777" w:rsidR="0093626A" w:rsidRPr="00634580" w:rsidRDefault="00000000" w:rsidP="00634580">
      <w:pPr>
        <w:pStyle w:val="Bibliografa1"/>
        <w:spacing w:line="360" w:lineRule="auto"/>
        <w:rPr>
          <w:rFonts w:ascii="Arial" w:hAnsi="Arial" w:cs="Arial"/>
          <w:sz w:val="24"/>
          <w:szCs w:val="24"/>
          <w:lang w:val="fr-FR"/>
        </w:rPr>
      </w:pPr>
      <w:r w:rsidRPr="00634580">
        <w:rPr>
          <w:rFonts w:ascii="Arial" w:hAnsi="Arial" w:cs="Arial"/>
          <w:sz w:val="24"/>
          <w:szCs w:val="24"/>
          <w:lang w:val="fr-FR"/>
        </w:rPr>
        <w:t xml:space="preserve">David, A. (2002). Décision, conception et recherche en sciences de gestion. </w:t>
      </w:r>
      <w:r w:rsidRPr="00634580">
        <w:rPr>
          <w:rFonts w:ascii="Arial" w:hAnsi="Arial" w:cs="Arial"/>
          <w:i/>
          <w:iCs/>
          <w:sz w:val="24"/>
          <w:szCs w:val="24"/>
          <w:lang w:val="fr-FR"/>
        </w:rPr>
        <w:t>Revue française de gestion</w:t>
      </w:r>
      <w:r w:rsidRPr="00634580">
        <w:rPr>
          <w:rFonts w:ascii="Arial" w:hAnsi="Arial" w:cs="Arial"/>
          <w:sz w:val="24"/>
          <w:szCs w:val="24"/>
          <w:lang w:val="fr-FR"/>
        </w:rPr>
        <w:t xml:space="preserve">, </w:t>
      </w:r>
      <w:r w:rsidRPr="00634580">
        <w:rPr>
          <w:rFonts w:ascii="Arial" w:hAnsi="Arial" w:cs="Arial"/>
          <w:i/>
          <w:iCs/>
          <w:sz w:val="24"/>
          <w:szCs w:val="24"/>
          <w:lang w:val="fr-FR"/>
        </w:rPr>
        <w:t>no 139</w:t>
      </w:r>
      <w:r w:rsidRPr="00634580">
        <w:rPr>
          <w:rFonts w:ascii="Arial" w:hAnsi="Arial" w:cs="Arial"/>
          <w:sz w:val="24"/>
          <w:szCs w:val="24"/>
          <w:lang w:val="fr-FR"/>
        </w:rPr>
        <w:t>(3), 173–185.</w:t>
      </w:r>
    </w:p>
    <w:p w14:paraId="4543F59E"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fr-FR"/>
        </w:rPr>
        <w:lastRenderedPageBreak/>
        <w:t xml:space="preserve">Dube, L., Bourhis, A., &amp; Jacob, R. (2006). </w:t>
      </w:r>
      <w:r w:rsidRPr="00634580">
        <w:rPr>
          <w:rFonts w:ascii="Arial" w:hAnsi="Arial" w:cs="Arial"/>
          <w:sz w:val="24"/>
          <w:szCs w:val="24"/>
          <w:lang w:val="en-GB"/>
        </w:rPr>
        <w:t xml:space="preserve">Towards a Typology of Virtual Communities of Practice. </w:t>
      </w:r>
      <w:r w:rsidRPr="00634580">
        <w:rPr>
          <w:rFonts w:ascii="Arial" w:hAnsi="Arial" w:cs="Arial"/>
          <w:i/>
          <w:iCs/>
          <w:sz w:val="24"/>
          <w:szCs w:val="24"/>
          <w:lang w:val="en-GB"/>
        </w:rPr>
        <w:t>Interdisciplinary Journal of Information, Knowledge, and Management</w:t>
      </w:r>
      <w:r w:rsidRPr="00634580">
        <w:rPr>
          <w:rFonts w:ascii="Arial" w:hAnsi="Arial" w:cs="Arial"/>
          <w:sz w:val="24"/>
          <w:szCs w:val="24"/>
          <w:lang w:val="en-GB"/>
        </w:rPr>
        <w:t xml:space="preserve">, </w:t>
      </w:r>
      <w:r w:rsidRPr="00634580">
        <w:rPr>
          <w:rFonts w:ascii="Arial" w:hAnsi="Arial" w:cs="Arial"/>
          <w:i/>
          <w:iCs/>
          <w:sz w:val="24"/>
          <w:szCs w:val="24"/>
          <w:lang w:val="en-GB"/>
        </w:rPr>
        <w:t>1</w:t>
      </w:r>
      <w:r w:rsidRPr="00634580">
        <w:rPr>
          <w:rFonts w:ascii="Arial" w:hAnsi="Arial" w:cs="Arial"/>
          <w:sz w:val="24"/>
          <w:szCs w:val="24"/>
          <w:lang w:val="en-GB"/>
        </w:rPr>
        <w:t>, 069–093. https://doi.org/10.28945/115</w:t>
      </w:r>
    </w:p>
    <w:p w14:paraId="5B328085"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Duberry, J. (2020). </w:t>
      </w:r>
      <w:r w:rsidRPr="00634580">
        <w:rPr>
          <w:rFonts w:ascii="Arial" w:hAnsi="Arial" w:cs="Arial"/>
          <w:i/>
          <w:iCs/>
          <w:sz w:val="24"/>
          <w:szCs w:val="24"/>
          <w:lang w:val="en-GB"/>
        </w:rPr>
        <w:t>E-Participation in global health organizations</w:t>
      </w:r>
      <w:r w:rsidRPr="00634580">
        <w:rPr>
          <w:rFonts w:ascii="Arial" w:hAnsi="Arial" w:cs="Arial"/>
          <w:sz w:val="24"/>
          <w:szCs w:val="24"/>
          <w:lang w:val="en-GB"/>
        </w:rPr>
        <w:t>. https://archive-ouverte.unige.ch/unige:143095</w:t>
      </w:r>
    </w:p>
    <w:p w14:paraId="3B794B27"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Dunlop, C. A. (2012). </w:t>
      </w:r>
      <w:r w:rsidRPr="00634580">
        <w:rPr>
          <w:rFonts w:ascii="Arial" w:hAnsi="Arial" w:cs="Arial"/>
          <w:i/>
          <w:iCs/>
          <w:sz w:val="24"/>
          <w:szCs w:val="24"/>
          <w:lang w:val="en-GB"/>
        </w:rPr>
        <w:t>Epistemic Communities</w:t>
      </w:r>
      <w:r w:rsidRPr="00634580">
        <w:rPr>
          <w:rFonts w:ascii="Arial" w:hAnsi="Arial" w:cs="Arial"/>
          <w:sz w:val="24"/>
          <w:szCs w:val="24"/>
          <w:lang w:val="en-GB"/>
        </w:rPr>
        <w:t>. Routledge. https://ore.exeter.ac.uk/repository/handle/10036/4098</w:t>
      </w:r>
    </w:p>
    <w:p w14:paraId="3744F308"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Eliakimu, E. S., &amp; Mans, L. (2022). Addressing Inequalities Toward Inclusive Governance for Achieving One Health: A Rapid Review. </w:t>
      </w:r>
      <w:r w:rsidRPr="00634580">
        <w:rPr>
          <w:rFonts w:ascii="Arial" w:hAnsi="Arial" w:cs="Arial"/>
          <w:i/>
          <w:iCs/>
          <w:sz w:val="24"/>
          <w:szCs w:val="24"/>
          <w:lang w:val="en-GB"/>
        </w:rPr>
        <w:t>Frontiers in Public Health</w:t>
      </w:r>
      <w:r w:rsidRPr="00634580">
        <w:rPr>
          <w:rFonts w:ascii="Arial" w:hAnsi="Arial" w:cs="Arial"/>
          <w:sz w:val="24"/>
          <w:szCs w:val="24"/>
          <w:lang w:val="en-GB"/>
        </w:rPr>
        <w:t xml:space="preserve">, </w:t>
      </w:r>
      <w:r w:rsidRPr="00634580">
        <w:rPr>
          <w:rFonts w:ascii="Arial" w:hAnsi="Arial" w:cs="Arial"/>
          <w:i/>
          <w:iCs/>
          <w:sz w:val="24"/>
          <w:szCs w:val="24"/>
          <w:lang w:val="en-GB"/>
        </w:rPr>
        <w:t>9</w:t>
      </w:r>
      <w:r w:rsidRPr="00634580">
        <w:rPr>
          <w:rFonts w:ascii="Arial" w:hAnsi="Arial" w:cs="Arial"/>
          <w:sz w:val="24"/>
          <w:szCs w:val="24"/>
          <w:lang w:val="en-GB"/>
        </w:rPr>
        <w:t>. https://www.frontiersin.org/articles/10.3389/fpubh.2021.755285</w:t>
      </w:r>
    </w:p>
    <w:p w14:paraId="6B2C47E7"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Engebretsen, E., &amp; Heggen, K. (2015). Powerful concepts in global health. </w:t>
      </w:r>
      <w:r w:rsidRPr="00634580">
        <w:rPr>
          <w:rFonts w:ascii="Arial" w:hAnsi="Arial" w:cs="Arial"/>
          <w:i/>
          <w:iCs/>
          <w:sz w:val="24"/>
          <w:szCs w:val="24"/>
          <w:lang w:val="en-GB"/>
        </w:rPr>
        <w:t>International Journal of Health Policy and Management</w:t>
      </w:r>
      <w:r w:rsidRPr="00634580">
        <w:rPr>
          <w:rFonts w:ascii="Arial" w:hAnsi="Arial" w:cs="Arial"/>
          <w:sz w:val="24"/>
          <w:szCs w:val="24"/>
          <w:lang w:val="en-GB"/>
        </w:rPr>
        <w:t xml:space="preserve">, </w:t>
      </w:r>
      <w:r w:rsidRPr="00634580">
        <w:rPr>
          <w:rFonts w:ascii="Arial" w:hAnsi="Arial" w:cs="Arial"/>
          <w:i/>
          <w:iCs/>
          <w:sz w:val="24"/>
          <w:szCs w:val="24"/>
          <w:lang w:val="en-GB"/>
        </w:rPr>
        <w:t>4</w:t>
      </w:r>
      <w:r w:rsidRPr="00634580">
        <w:rPr>
          <w:rFonts w:ascii="Arial" w:hAnsi="Arial" w:cs="Arial"/>
          <w:sz w:val="24"/>
          <w:szCs w:val="24"/>
          <w:lang w:val="en-GB"/>
        </w:rPr>
        <w:t>(2), 115–117. https://doi.org/10.15171/ijhpm.2015.19</w:t>
      </w:r>
    </w:p>
    <w:p w14:paraId="1CCF6C7F"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Ferreyra, C. (2006). Practicality, Positionality, and Emancipation: Reflections on Participatory Action Research with a Watershed Partnership. </w:t>
      </w:r>
      <w:r w:rsidRPr="00634580">
        <w:rPr>
          <w:rFonts w:ascii="Arial" w:hAnsi="Arial" w:cs="Arial"/>
          <w:i/>
          <w:iCs/>
          <w:sz w:val="24"/>
          <w:szCs w:val="24"/>
          <w:lang w:val="en-GB"/>
        </w:rPr>
        <w:t>Systemic Practice and Action Research</w:t>
      </w:r>
      <w:r w:rsidRPr="00634580">
        <w:rPr>
          <w:rFonts w:ascii="Arial" w:hAnsi="Arial" w:cs="Arial"/>
          <w:sz w:val="24"/>
          <w:szCs w:val="24"/>
          <w:lang w:val="en-GB"/>
        </w:rPr>
        <w:t xml:space="preserve">, </w:t>
      </w:r>
      <w:r w:rsidRPr="00634580">
        <w:rPr>
          <w:rFonts w:ascii="Arial" w:hAnsi="Arial" w:cs="Arial"/>
          <w:i/>
          <w:iCs/>
          <w:sz w:val="24"/>
          <w:szCs w:val="24"/>
          <w:lang w:val="en-GB"/>
        </w:rPr>
        <w:t>19</w:t>
      </w:r>
      <w:r w:rsidRPr="00634580">
        <w:rPr>
          <w:rFonts w:ascii="Arial" w:hAnsi="Arial" w:cs="Arial"/>
          <w:sz w:val="24"/>
          <w:szCs w:val="24"/>
          <w:lang w:val="en-GB"/>
        </w:rPr>
        <w:t>(6), 577–598. https://doi.org/10.1007/s11213-006-9044-2</w:t>
      </w:r>
    </w:p>
    <w:p w14:paraId="5C81F61D"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Fetterman, D. M., Kaftarian, S. J., &amp; Wandersman, A. (2015). </w:t>
      </w:r>
      <w:r w:rsidRPr="00634580">
        <w:rPr>
          <w:rFonts w:ascii="Arial" w:hAnsi="Arial" w:cs="Arial"/>
          <w:i/>
          <w:iCs/>
          <w:sz w:val="24"/>
          <w:szCs w:val="24"/>
          <w:lang w:val="en-GB"/>
        </w:rPr>
        <w:t>Empowerment Evaluation: Knowledge and Tools for Self-Assessment, Evaluation Capacity Building, and Accountability</w:t>
      </w:r>
      <w:r w:rsidRPr="00634580">
        <w:rPr>
          <w:rFonts w:ascii="Arial" w:hAnsi="Arial" w:cs="Arial"/>
          <w:sz w:val="24"/>
          <w:szCs w:val="24"/>
          <w:lang w:val="en-GB"/>
        </w:rPr>
        <w:t>. SAGE Publications, Inc. https://doi.org/10.4135/9781483387079</w:t>
      </w:r>
    </w:p>
    <w:p w14:paraId="00CB964C"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Fletcher, J. (2014). Social communities in a knowledge enabling organizational context: Interaction and relational engagement in a community of practice and a micro-community of knowledge. </w:t>
      </w:r>
      <w:r w:rsidRPr="00634580">
        <w:rPr>
          <w:rFonts w:ascii="Arial" w:hAnsi="Arial" w:cs="Arial"/>
          <w:i/>
          <w:iCs/>
          <w:sz w:val="24"/>
          <w:szCs w:val="24"/>
          <w:lang w:val="en-GB"/>
        </w:rPr>
        <w:t>Discourse &amp; Communication</w:t>
      </w:r>
      <w:r w:rsidRPr="00634580">
        <w:rPr>
          <w:rFonts w:ascii="Arial" w:hAnsi="Arial" w:cs="Arial"/>
          <w:sz w:val="24"/>
          <w:szCs w:val="24"/>
          <w:lang w:val="en-GB"/>
        </w:rPr>
        <w:t xml:space="preserve">, </w:t>
      </w:r>
      <w:r w:rsidRPr="00634580">
        <w:rPr>
          <w:rFonts w:ascii="Arial" w:hAnsi="Arial" w:cs="Arial"/>
          <w:i/>
          <w:iCs/>
          <w:sz w:val="24"/>
          <w:szCs w:val="24"/>
          <w:lang w:val="en-GB"/>
        </w:rPr>
        <w:t>8</w:t>
      </w:r>
      <w:r w:rsidRPr="00634580">
        <w:rPr>
          <w:rFonts w:ascii="Arial" w:hAnsi="Arial" w:cs="Arial"/>
          <w:sz w:val="24"/>
          <w:szCs w:val="24"/>
          <w:lang w:val="en-GB"/>
        </w:rPr>
        <w:t>(4), 351–369. https://doi.org/10.1177/1750481314537577</w:t>
      </w:r>
    </w:p>
    <w:p w14:paraId="1D519A55"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Flicker, S., Travers, R., Guta, A., McDonald, S., &amp; Meagher, A. (2007). Ethical dilemmas in community-based participatory research: Recommendations for institutional review boards. </w:t>
      </w:r>
      <w:r w:rsidRPr="00634580">
        <w:rPr>
          <w:rFonts w:ascii="Arial" w:hAnsi="Arial" w:cs="Arial"/>
          <w:i/>
          <w:iCs/>
          <w:sz w:val="24"/>
          <w:szCs w:val="24"/>
          <w:lang w:val="en-GB"/>
        </w:rPr>
        <w:t>Journal of Urban Health: Bulletin of the New York Academy of Medicine</w:t>
      </w:r>
      <w:r w:rsidRPr="00634580">
        <w:rPr>
          <w:rFonts w:ascii="Arial" w:hAnsi="Arial" w:cs="Arial"/>
          <w:sz w:val="24"/>
          <w:szCs w:val="24"/>
          <w:lang w:val="en-GB"/>
        </w:rPr>
        <w:t xml:space="preserve">, </w:t>
      </w:r>
      <w:r w:rsidRPr="00634580">
        <w:rPr>
          <w:rFonts w:ascii="Arial" w:hAnsi="Arial" w:cs="Arial"/>
          <w:i/>
          <w:iCs/>
          <w:sz w:val="24"/>
          <w:szCs w:val="24"/>
          <w:lang w:val="en-GB"/>
        </w:rPr>
        <w:t>84</w:t>
      </w:r>
      <w:r w:rsidRPr="00634580">
        <w:rPr>
          <w:rFonts w:ascii="Arial" w:hAnsi="Arial" w:cs="Arial"/>
          <w:sz w:val="24"/>
          <w:szCs w:val="24"/>
          <w:lang w:val="en-GB"/>
        </w:rPr>
        <w:t>(4), 478–493. https://doi.org/10.1007/s11524-007-9165-7</w:t>
      </w:r>
    </w:p>
    <w:p w14:paraId="5E9A759C"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lastRenderedPageBreak/>
        <w:t xml:space="preserve">Fox, S. (2000). Communities Of Practice, Foucault And Actor-Network Therory. </w:t>
      </w:r>
      <w:r w:rsidRPr="00634580">
        <w:rPr>
          <w:rFonts w:ascii="Arial" w:hAnsi="Arial" w:cs="Arial"/>
          <w:i/>
          <w:iCs/>
          <w:sz w:val="24"/>
          <w:szCs w:val="24"/>
          <w:lang w:val="en-GB"/>
        </w:rPr>
        <w:t>Journal of Management Studies</w:t>
      </w:r>
      <w:r w:rsidRPr="00634580">
        <w:rPr>
          <w:rFonts w:ascii="Arial" w:hAnsi="Arial" w:cs="Arial"/>
          <w:sz w:val="24"/>
          <w:szCs w:val="24"/>
          <w:lang w:val="en-GB"/>
        </w:rPr>
        <w:t xml:space="preserve">, </w:t>
      </w:r>
      <w:r w:rsidRPr="00634580">
        <w:rPr>
          <w:rFonts w:ascii="Arial" w:hAnsi="Arial" w:cs="Arial"/>
          <w:i/>
          <w:iCs/>
          <w:sz w:val="24"/>
          <w:szCs w:val="24"/>
          <w:lang w:val="en-GB"/>
        </w:rPr>
        <w:t>37</w:t>
      </w:r>
      <w:r w:rsidRPr="00634580">
        <w:rPr>
          <w:rFonts w:ascii="Arial" w:hAnsi="Arial" w:cs="Arial"/>
          <w:sz w:val="24"/>
          <w:szCs w:val="24"/>
          <w:lang w:val="en-GB"/>
        </w:rPr>
        <w:t>(6), 853–868. https://doi.org/10.1111/1467-6486.00207</w:t>
      </w:r>
    </w:p>
    <w:p w14:paraId="669ED8FE"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Freeman, M. (2014). The Hermeneutical Aesthetics of Thick Description. </w:t>
      </w:r>
      <w:r w:rsidRPr="00634580">
        <w:rPr>
          <w:rFonts w:ascii="Arial" w:hAnsi="Arial" w:cs="Arial"/>
          <w:i/>
          <w:iCs/>
          <w:sz w:val="24"/>
          <w:szCs w:val="24"/>
          <w:lang w:val="en-GB"/>
        </w:rPr>
        <w:t>Qualitative Inquiry</w:t>
      </w:r>
      <w:r w:rsidRPr="00634580">
        <w:rPr>
          <w:rFonts w:ascii="Arial" w:hAnsi="Arial" w:cs="Arial"/>
          <w:sz w:val="24"/>
          <w:szCs w:val="24"/>
          <w:lang w:val="en-GB"/>
        </w:rPr>
        <w:t xml:space="preserve">, </w:t>
      </w:r>
      <w:r w:rsidRPr="00634580">
        <w:rPr>
          <w:rFonts w:ascii="Arial" w:hAnsi="Arial" w:cs="Arial"/>
          <w:i/>
          <w:iCs/>
          <w:sz w:val="24"/>
          <w:szCs w:val="24"/>
          <w:lang w:val="en-GB"/>
        </w:rPr>
        <w:t>20</w:t>
      </w:r>
      <w:r w:rsidRPr="00634580">
        <w:rPr>
          <w:rFonts w:ascii="Arial" w:hAnsi="Arial" w:cs="Arial"/>
          <w:sz w:val="24"/>
          <w:szCs w:val="24"/>
          <w:lang w:val="en-GB"/>
        </w:rPr>
        <w:t>(6), 827–833. https://doi.org/10.1177/1077800414530267</w:t>
      </w:r>
    </w:p>
    <w:p w14:paraId="76F77F68"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Frenk, J., &amp; Moon, S. (2013). Governance Challenges in Global Health. </w:t>
      </w:r>
      <w:r w:rsidRPr="00634580">
        <w:rPr>
          <w:rFonts w:ascii="Arial" w:hAnsi="Arial" w:cs="Arial"/>
          <w:i/>
          <w:iCs/>
          <w:sz w:val="24"/>
          <w:szCs w:val="24"/>
          <w:lang w:val="en-GB"/>
        </w:rPr>
        <w:t>New England Journal of Medicine</w:t>
      </w:r>
      <w:r w:rsidRPr="00634580">
        <w:rPr>
          <w:rFonts w:ascii="Arial" w:hAnsi="Arial" w:cs="Arial"/>
          <w:sz w:val="24"/>
          <w:szCs w:val="24"/>
          <w:lang w:val="en-GB"/>
        </w:rPr>
        <w:t xml:space="preserve">, </w:t>
      </w:r>
      <w:r w:rsidRPr="00634580">
        <w:rPr>
          <w:rFonts w:ascii="Arial" w:hAnsi="Arial" w:cs="Arial"/>
          <w:i/>
          <w:iCs/>
          <w:sz w:val="24"/>
          <w:szCs w:val="24"/>
          <w:lang w:val="en-GB"/>
        </w:rPr>
        <w:t>368</w:t>
      </w:r>
      <w:r w:rsidRPr="00634580">
        <w:rPr>
          <w:rFonts w:ascii="Arial" w:hAnsi="Arial" w:cs="Arial"/>
          <w:sz w:val="24"/>
          <w:szCs w:val="24"/>
          <w:lang w:val="en-GB"/>
        </w:rPr>
        <w:t>(10), 936–942. https://doi.org/10.1056/NEJMra1109339</w:t>
      </w:r>
    </w:p>
    <w:p w14:paraId="0FDFB1A5"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Gaborit, E., Terral, P., &amp; Génolini, J.-P. (2021). </w:t>
      </w:r>
      <w:r w:rsidRPr="00634580">
        <w:rPr>
          <w:rFonts w:ascii="Arial" w:hAnsi="Arial" w:cs="Arial"/>
          <w:sz w:val="24"/>
          <w:szCs w:val="24"/>
          <w:lang w:val="fr-FR"/>
        </w:rPr>
        <w:t xml:space="preserve">Étudier de près les modes de coordination pour construire un partenariat visant à réduire les inégalités épistémiques. </w:t>
      </w:r>
      <w:r w:rsidRPr="00634580">
        <w:rPr>
          <w:rFonts w:ascii="Arial" w:hAnsi="Arial" w:cs="Arial"/>
          <w:i/>
          <w:iCs/>
          <w:sz w:val="24"/>
          <w:szCs w:val="24"/>
          <w:lang w:val="en-GB"/>
        </w:rPr>
        <w:t>Global Health Promotion</w:t>
      </w:r>
      <w:r w:rsidRPr="00634580">
        <w:rPr>
          <w:rFonts w:ascii="Arial" w:hAnsi="Arial" w:cs="Arial"/>
          <w:sz w:val="24"/>
          <w:szCs w:val="24"/>
          <w:lang w:val="en-GB"/>
        </w:rPr>
        <w:t xml:space="preserve">, </w:t>
      </w:r>
      <w:r w:rsidRPr="00634580">
        <w:rPr>
          <w:rFonts w:ascii="Arial" w:hAnsi="Arial" w:cs="Arial"/>
          <w:i/>
          <w:iCs/>
          <w:sz w:val="24"/>
          <w:szCs w:val="24"/>
          <w:lang w:val="en-GB"/>
        </w:rPr>
        <w:t>28</w:t>
      </w:r>
      <w:r w:rsidRPr="00634580">
        <w:rPr>
          <w:rFonts w:ascii="Arial" w:hAnsi="Arial" w:cs="Arial"/>
          <w:sz w:val="24"/>
          <w:szCs w:val="24"/>
          <w:lang w:val="en-GB"/>
        </w:rPr>
        <w:t>(1_suppl), 39–46. https://doi.org/10.1177/1757975920986709</w:t>
      </w:r>
    </w:p>
    <w:p w14:paraId="13AEB9F8"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Gannon-Leary, P., &amp; Fontainha, E. (2007). </w:t>
      </w:r>
      <w:r w:rsidRPr="00634580">
        <w:rPr>
          <w:rFonts w:ascii="Arial" w:hAnsi="Arial" w:cs="Arial"/>
          <w:i/>
          <w:iCs/>
          <w:sz w:val="24"/>
          <w:szCs w:val="24"/>
          <w:lang w:val="en-GB"/>
        </w:rPr>
        <w:t>Communities of Practice and virtual learning communities: Benefits, barriers and success factors</w:t>
      </w:r>
      <w:r w:rsidRPr="00634580">
        <w:rPr>
          <w:rFonts w:ascii="Arial" w:hAnsi="Arial" w:cs="Arial"/>
          <w:sz w:val="24"/>
          <w:szCs w:val="24"/>
          <w:lang w:val="en-GB"/>
        </w:rPr>
        <w:t>.</w:t>
      </w:r>
    </w:p>
    <w:p w14:paraId="31212D52"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Grabher, G., &amp; Ibert, O. (2017). Knowledge collaboration in hybrid virtual communities. In </w:t>
      </w:r>
      <w:r w:rsidRPr="00634580">
        <w:rPr>
          <w:rFonts w:ascii="Arial" w:hAnsi="Arial" w:cs="Arial"/>
          <w:i/>
          <w:iCs/>
          <w:sz w:val="24"/>
          <w:szCs w:val="24"/>
          <w:lang w:val="en-GB"/>
        </w:rPr>
        <w:t>The Elgar Companion to Innovation and Knowledge Creation</w:t>
      </w:r>
      <w:r w:rsidRPr="00634580">
        <w:rPr>
          <w:rFonts w:ascii="Arial" w:hAnsi="Arial" w:cs="Arial"/>
          <w:sz w:val="24"/>
          <w:szCs w:val="24"/>
          <w:lang w:val="en-GB"/>
        </w:rPr>
        <w:t xml:space="preserve"> (pp. 537–555). Edward Elgar Publishing. https://www.elgaronline.com/display/edcoll/9781782548515/9781782548515.00044.xml</w:t>
      </w:r>
    </w:p>
    <w:p w14:paraId="60D46E8A"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Green, L., Daniel, M., &amp; Novick, L. (2001). Partnerships and coalitions for community-based research. </w:t>
      </w:r>
      <w:r w:rsidRPr="00634580">
        <w:rPr>
          <w:rFonts w:ascii="Arial" w:hAnsi="Arial" w:cs="Arial"/>
          <w:i/>
          <w:iCs/>
          <w:sz w:val="24"/>
          <w:szCs w:val="24"/>
          <w:lang w:val="en-GB"/>
        </w:rPr>
        <w:t>Public Health Reports</w:t>
      </w:r>
      <w:r w:rsidRPr="00634580">
        <w:rPr>
          <w:rFonts w:ascii="Arial" w:hAnsi="Arial" w:cs="Arial"/>
          <w:sz w:val="24"/>
          <w:szCs w:val="24"/>
          <w:lang w:val="en-GB"/>
        </w:rPr>
        <w:t xml:space="preserve">, </w:t>
      </w:r>
      <w:r w:rsidRPr="00634580">
        <w:rPr>
          <w:rFonts w:ascii="Arial" w:hAnsi="Arial" w:cs="Arial"/>
          <w:i/>
          <w:iCs/>
          <w:sz w:val="24"/>
          <w:szCs w:val="24"/>
          <w:lang w:val="en-GB"/>
        </w:rPr>
        <w:t>116</w:t>
      </w:r>
      <w:r w:rsidRPr="00634580">
        <w:rPr>
          <w:rFonts w:ascii="Arial" w:hAnsi="Arial" w:cs="Arial"/>
          <w:sz w:val="24"/>
          <w:szCs w:val="24"/>
          <w:lang w:val="en-GB"/>
        </w:rPr>
        <w:t>(Suppl 1), 20–31.</w:t>
      </w:r>
    </w:p>
    <w:p w14:paraId="50A19679"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Haas, P. (2008). Epistemic Communities. In D. Bodansky, J. Brunnée, &amp; E. Hey (Eds.), </w:t>
      </w:r>
      <w:r w:rsidRPr="00634580">
        <w:rPr>
          <w:rFonts w:ascii="Arial" w:hAnsi="Arial" w:cs="Arial"/>
          <w:i/>
          <w:iCs/>
          <w:sz w:val="24"/>
          <w:szCs w:val="24"/>
          <w:lang w:val="en-GB"/>
        </w:rPr>
        <w:t>The Oxford Handbook of International Environmental Law</w:t>
      </w:r>
      <w:r w:rsidRPr="00634580">
        <w:rPr>
          <w:rFonts w:ascii="Arial" w:hAnsi="Arial" w:cs="Arial"/>
          <w:sz w:val="24"/>
          <w:szCs w:val="24"/>
          <w:lang w:val="en-GB"/>
        </w:rPr>
        <w:t xml:space="preserve"> (p. 0). Oxford University Press. https://doi.org/10.1093/oxfordhb/9780199552153.013.0034</w:t>
      </w:r>
    </w:p>
    <w:p w14:paraId="621680D6"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Hanefeld, J., &amp; Walt, G. (2015). Knowledge and networks – key sources of power in global health. </w:t>
      </w:r>
      <w:r w:rsidRPr="00634580">
        <w:rPr>
          <w:rFonts w:ascii="Arial" w:hAnsi="Arial" w:cs="Arial"/>
          <w:i/>
          <w:iCs/>
          <w:sz w:val="24"/>
          <w:szCs w:val="24"/>
          <w:lang w:val="en-GB"/>
        </w:rPr>
        <w:t>International Journal of Health Policy and Management</w:t>
      </w:r>
      <w:r w:rsidRPr="00634580">
        <w:rPr>
          <w:rFonts w:ascii="Arial" w:hAnsi="Arial" w:cs="Arial"/>
          <w:sz w:val="24"/>
          <w:szCs w:val="24"/>
          <w:lang w:val="en-GB"/>
        </w:rPr>
        <w:t xml:space="preserve">, </w:t>
      </w:r>
      <w:r w:rsidRPr="00634580">
        <w:rPr>
          <w:rFonts w:ascii="Arial" w:hAnsi="Arial" w:cs="Arial"/>
          <w:i/>
          <w:iCs/>
          <w:sz w:val="24"/>
          <w:szCs w:val="24"/>
          <w:lang w:val="en-GB"/>
        </w:rPr>
        <w:t>4</w:t>
      </w:r>
      <w:r w:rsidRPr="00634580">
        <w:rPr>
          <w:rFonts w:ascii="Arial" w:hAnsi="Arial" w:cs="Arial"/>
          <w:sz w:val="24"/>
          <w:szCs w:val="24"/>
          <w:lang w:val="en-GB"/>
        </w:rPr>
        <w:t>(2), 119–121. https://doi.org/10.15171/ijhpm.2015.25</w:t>
      </w:r>
    </w:p>
    <w:p w14:paraId="14598CA1"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lastRenderedPageBreak/>
        <w:t xml:space="preserve">Hoffman, S. J., &amp; Cole, C. B. (2018). Defining the global health system and systematically mapping its network of actors. </w:t>
      </w:r>
      <w:r w:rsidRPr="00634580">
        <w:rPr>
          <w:rFonts w:ascii="Arial" w:hAnsi="Arial" w:cs="Arial"/>
          <w:i/>
          <w:iCs/>
          <w:sz w:val="24"/>
          <w:szCs w:val="24"/>
          <w:lang w:val="en-GB"/>
        </w:rPr>
        <w:t>Globalization and Health</w:t>
      </w:r>
      <w:r w:rsidRPr="00634580">
        <w:rPr>
          <w:rFonts w:ascii="Arial" w:hAnsi="Arial" w:cs="Arial"/>
          <w:sz w:val="24"/>
          <w:szCs w:val="24"/>
          <w:lang w:val="en-GB"/>
        </w:rPr>
        <w:t xml:space="preserve">, </w:t>
      </w:r>
      <w:r w:rsidRPr="00634580">
        <w:rPr>
          <w:rFonts w:ascii="Arial" w:hAnsi="Arial" w:cs="Arial"/>
          <w:i/>
          <w:iCs/>
          <w:sz w:val="24"/>
          <w:szCs w:val="24"/>
          <w:lang w:val="en-GB"/>
        </w:rPr>
        <w:t>14</w:t>
      </w:r>
      <w:r w:rsidRPr="00634580">
        <w:rPr>
          <w:rFonts w:ascii="Arial" w:hAnsi="Arial" w:cs="Arial"/>
          <w:sz w:val="24"/>
          <w:szCs w:val="24"/>
          <w:lang w:val="en-GB"/>
        </w:rPr>
        <w:t>(1), 38. https://doi.org/10.1186/s12992-018-0340-2</w:t>
      </w:r>
    </w:p>
    <w:p w14:paraId="4A74ABC5"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Jagosh, J., Macaulay, A. C., Pluye, P., Salsberg, J., Bush, P. L., Henderson, J., Sirett, E., Wong, G., Cargo, M., Herbert, C. P., Seifer, S. D., Green, L. W., &amp; Greenhalgh, T. (2012). Uncovering the Benefits of Participatory Research: Implications of a Realist Review for Health Research and Practice. </w:t>
      </w:r>
      <w:r w:rsidRPr="00634580">
        <w:rPr>
          <w:rFonts w:ascii="Arial" w:hAnsi="Arial" w:cs="Arial"/>
          <w:i/>
          <w:iCs/>
          <w:sz w:val="24"/>
          <w:szCs w:val="24"/>
          <w:lang w:val="en-GB"/>
        </w:rPr>
        <w:t>The Milbank Quarterly</w:t>
      </w:r>
      <w:r w:rsidRPr="00634580">
        <w:rPr>
          <w:rFonts w:ascii="Arial" w:hAnsi="Arial" w:cs="Arial"/>
          <w:sz w:val="24"/>
          <w:szCs w:val="24"/>
          <w:lang w:val="en-GB"/>
        </w:rPr>
        <w:t xml:space="preserve">, </w:t>
      </w:r>
      <w:r w:rsidRPr="00634580">
        <w:rPr>
          <w:rFonts w:ascii="Arial" w:hAnsi="Arial" w:cs="Arial"/>
          <w:i/>
          <w:iCs/>
          <w:sz w:val="24"/>
          <w:szCs w:val="24"/>
          <w:lang w:val="en-GB"/>
        </w:rPr>
        <w:t>90</w:t>
      </w:r>
      <w:r w:rsidRPr="00634580">
        <w:rPr>
          <w:rFonts w:ascii="Arial" w:hAnsi="Arial" w:cs="Arial"/>
          <w:sz w:val="24"/>
          <w:szCs w:val="24"/>
          <w:lang w:val="en-GB"/>
        </w:rPr>
        <w:t>(2), 311–346. https://doi.org/10.1111/j.1468-0009.2012.00665.x</w:t>
      </w:r>
    </w:p>
    <w:p w14:paraId="78EE6FA4"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Jagosh, J., Pluye, P., Macaulay, A. C., Salsberg, J., Henderson, J., Sirett, E., Bush, P. L., Seller, R., Wong, G., Greenhalgh, T., Cargo, M., Herbert, C. P., Seifer, S. D., &amp; Green, L. W. (2011). Assessing the outcomes of participatory research: Protocol for identifying, selecting, appraising and synthesizing the literature for realist review. </w:t>
      </w:r>
      <w:r w:rsidRPr="00634580">
        <w:rPr>
          <w:rFonts w:ascii="Arial" w:hAnsi="Arial" w:cs="Arial"/>
          <w:i/>
          <w:iCs/>
          <w:sz w:val="24"/>
          <w:szCs w:val="24"/>
          <w:lang w:val="en-GB"/>
        </w:rPr>
        <w:t>Implementation Science</w:t>
      </w:r>
      <w:r w:rsidRPr="00634580">
        <w:rPr>
          <w:rFonts w:ascii="Arial" w:hAnsi="Arial" w:cs="Arial"/>
          <w:sz w:val="24"/>
          <w:szCs w:val="24"/>
          <w:lang w:val="en-GB"/>
        </w:rPr>
        <w:t xml:space="preserve">, </w:t>
      </w:r>
      <w:r w:rsidRPr="00634580">
        <w:rPr>
          <w:rFonts w:ascii="Arial" w:hAnsi="Arial" w:cs="Arial"/>
          <w:i/>
          <w:iCs/>
          <w:sz w:val="24"/>
          <w:szCs w:val="24"/>
          <w:lang w:val="en-GB"/>
        </w:rPr>
        <w:t>6</w:t>
      </w:r>
      <w:r w:rsidRPr="00634580">
        <w:rPr>
          <w:rFonts w:ascii="Arial" w:hAnsi="Arial" w:cs="Arial"/>
          <w:sz w:val="24"/>
          <w:szCs w:val="24"/>
          <w:lang w:val="en-GB"/>
        </w:rPr>
        <w:t>(1), 24. https://doi.org/10.1186/1748-5908-6-24</w:t>
      </w:r>
    </w:p>
    <w:p w14:paraId="6E3DE6EE"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Kalafatis, S. E., Lemos, M. C., Lo, Y.-J., &amp; Frank, K. A. (2015). Increasing information usability for climate adaptation: The role of knowledge networks and communities of practice. </w:t>
      </w:r>
      <w:r w:rsidRPr="00634580">
        <w:rPr>
          <w:rFonts w:ascii="Arial" w:hAnsi="Arial" w:cs="Arial"/>
          <w:i/>
          <w:iCs/>
          <w:sz w:val="24"/>
          <w:szCs w:val="24"/>
          <w:lang w:val="en-GB"/>
        </w:rPr>
        <w:t>Global Environmental Change</w:t>
      </w:r>
      <w:r w:rsidRPr="00634580">
        <w:rPr>
          <w:rFonts w:ascii="Arial" w:hAnsi="Arial" w:cs="Arial"/>
          <w:sz w:val="24"/>
          <w:szCs w:val="24"/>
          <w:lang w:val="en-GB"/>
        </w:rPr>
        <w:t xml:space="preserve">, </w:t>
      </w:r>
      <w:r w:rsidRPr="00634580">
        <w:rPr>
          <w:rFonts w:ascii="Arial" w:hAnsi="Arial" w:cs="Arial"/>
          <w:i/>
          <w:iCs/>
          <w:sz w:val="24"/>
          <w:szCs w:val="24"/>
          <w:lang w:val="en-GB"/>
        </w:rPr>
        <w:t>32</w:t>
      </w:r>
      <w:r w:rsidRPr="00634580">
        <w:rPr>
          <w:rFonts w:ascii="Arial" w:hAnsi="Arial" w:cs="Arial"/>
          <w:sz w:val="24"/>
          <w:szCs w:val="24"/>
          <w:lang w:val="en-GB"/>
        </w:rPr>
        <w:t>, 30–39. https://doi.org/10.1016/j.gloenvcha.2015.02.007</w:t>
      </w:r>
    </w:p>
    <w:p w14:paraId="57D11825"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Kelaher, M., Ng, L., Knight, K., &amp; Rahadi, A. (2016). Equity in global health research in the new millennium: Trends in first-authorship for randomized controlled trials among low- and middle-income country researchers 1990-2013. </w:t>
      </w:r>
      <w:r w:rsidRPr="00634580">
        <w:rPr>
          <w:rFonts w:ascii="Arial" w:hAnsi="Arial" w:cs="Arial"/>
          <w:i/>
          <w:iCs/>
          <w:sz w:val="24"/>
          <w:szCs w:val="24"/>
          <w:lang w:val="en-GB"/>
        </w:rPr>
        <w:t>International Journal of Epidemiology</w:t>
      </w:r>
      <w:r w:rsidRPr="00634580">
        <w:rPr>
          <w:rFonts w:ascii="Arial" w:hAnsi="Arial" w:cs="Arial"/>
          <w:sz w:val="24"/>
          <w:szCs w:val="24"/>
          <w:lang w:val="en-GB"/>
        </w:rPr>
        <w:t xml:space="preserve">, </w:t>
      </w:r>
      <w:r w:rsidRPr="00634580">
        <w:rPr>
          <w:rFonts w:ascii="Arial" w:hAnsi="Arial" w:cs="Arial"/>
          <w:i/>
          <w:iCs/>
          <w:sz w:val="24"/>
          <w:szCs w:val="24"/>
          <w:lang w:val="en-GB"/>
        </w:rPr>
        <w:t>45</w:t>
      </w:r>
      <w:r w:rsidRPr="00634580">
        <w:rPr>
          <w:rFonts w:ascii="Arial" w:hAnsi="Arial" w:cs="Arial"/>
          <w:sz w:val="24"/>
          <w:szCs w:val="24"/>
          <w:lang w:val="en-GB"/>
        </w:rPr>
        <w:t>(6), 2174–2183. https://doi.org/10.1093/ije/dyw313</w:t>
      </w:r>
    </w:p>
    <w:p w14:paraId="0B981BA3"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Kickbusch, I. (1999). Global + local = glocal public health. </w:t>
      </w:r>
      <w:r w:rsidRPr="00634580">
        <w:rPr>
          <w:rFonts w:ascii="Arial" w:hAnsi="Arial" w:cs="Arial"/>
          <w:i/>
          <w:iCs/>
          <w:sz w:val="24"/>
          <w:szCs w:val="24"/>
          <w:lang w:val="en-GB"/>
        </w:rPr>
        <w:t>Journal of Epidemiology and Community Health</w:t>
      </w:r>
      <w:r w:rsidRPr="00634580">
        <w:rPr>
          <w:rFonts w:ascii="Arial" w:hAnsi="Arial" w:cs="Arial"/>
          <w:sz w:val="24"/>
          <w:szCs w:val="24"/>
          <w:lang w:val="en-GB"/>
        </w:rPr>
        <w:t xml:space="preserve">, </w:t>
      </w:r>
      <w:r w:rsidRPr="00634580">
        <w:rPr>
          <w:rFonts w:ascii="Arial" w:hAnsi="Arial" w:cs="Arial"/>
          <w:i/>
          <w:iCs/>
          <w:sz w:val="24"/>
          <w:szCs w:val="24"/>
          <w:lang w:val="en-GB"/>
        </w:rPr>
        <w:t>53</w:t>
      </w:r>
      <w:r w:rsidRPr="00634580">
        <w:rPr>
          <w:rFonts w:ascii="Arial" w:hAnsi="Arial" w:cs="Arial"/>
          <w:sz w:val="24"/>
          <w:szCs w:val="24"/>
          <w:lang w:val="en-GB"/>
        </w:rPr>
        <w:t>(8), 451–452.</w:t>
      </w:r>
    </w:p>
    <w:p w14:paraId="6568E7AC"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Kickbusch, I. (2000). The development of international health policies—Accountability intact? </w:t>
      </w:r>
      <w:r w:rsidRPr="00634580">
        <w:rPr>
          <w:rFonts w:ascii="Arial" w:hAnsi="Arial" w:cs="Arial"/>
          <w:i/>
          <w:iCs/>
          <w:sz w:val="24"/>
          <w:szCs w:val="24"/>
          <w:lang w:val="en-GB"/>
        </w:rPr>
        <w:t>Social Science &amp; Medicine</w:t>
      </w:r>
      <w:r w:rsidRPr="00634580">
        <w:rPr>
          <w:rFonts w:ascii="Arial" w:hAnsi="Arial" w:cs="Arial"/>
          <w:sz w:val="24"/>
          <w:szCs w:val="24"/>
          <w:lang w:val="en-GB"/>
        </w:rPr>
        <w:t xml:space="preserve">, </w:t>
      </w:r>
      <w:r w:rsidRPr="00634580">
        <w:rPr>
          <w:rFonts w:ascii="Arial" w:hAnsi="Arial" w:cs="Arial"/>
          <w:i/>
          <w:iCs/>
          <w:sz w:val="24"/>
          <w:szCs w:val="24"/>
          <w:lang w:val="en-GB"/>
        </w:rPr>
        <w:t>51</w:t>
      </w:r>
      <w:r w:rsidRPr="00634580">
        <w:rPr>
          <w:rFonts w:ascii="Arial" w:hAnsi="Arial" w:cs="Arial"/>
          <w:sz w:val="24"/>
          <w:szCs w:val="24"/>
          <w:lang w:val="en-GB"/>
        </w:rPr>
        <w:t>(6), 979–989. https://doi.org/10.1016/S0277-9536(00)00076-9</w:t>
      </w:r>
    </w:p>
    <w:p w14:paraId="048C98D0" w14:textId="77777777" w:rsidR="0093626A" w:rsidRPr="00634580" w:rsidRDefault="00000000" w:rsidP="00634580">
      <w:pPr>
        <w:pStyle w:val="Bibliografa1"/>
        <w:spacing w:line="360" w:lineRule="auto"/>
        <w:rPr>
          <w:rFonts w:ascii="Arial" w:hAnsi="Arial" w:cs="Arial"/>
          <w:sz w:val="24"/>
          <w:szCs w:val="24"/>
          <w:lang w:val="fr-FR"/>
        </w:rPr>
      </w:pPr>
      <w:r w:rsidRPr="00634580">
        <w:rPr>
          <w:rFonts w:ascii="Arial" w:hAnsi="Arial" w:cs="Arial"/>
          <w:sz w:val="24"/>
          <w:szCs w:val="24"/>
          <w:lang w:val="en-GB"/>
        </w:rPr>
        <w:lastRenderedPageBreak/>
        <w:t xml:space="preserve">Kickbusch, I. (2006). Mapping the Future of Public Health: Action on Global Health. </w:t>
      </w:r>
      <w:r w:rsidRPr="00634580">
        <w:rPr>
          <w:rFonts w:ascii="Arial" w:hAnsi="Arial" w:cs="Arial"/>
          <w:i/>
          <w:iCs/>
          <w:sz w:val="24"/>
          <w:szCs w:val="24"/>
          <w:lang w:val="fr-FR"/>
        </w:rPr>
        <w:t>Canadian Journal of Public Health / Revue Canadienne de Santé Publique</w:t>
      </w:r>
      <w:r w:rsidRPr="00634580">
        <w:rPr>
          <w:rFonts w:ascii="Arial" w:hAnsi="Arial" w:cs="Arial"/>
          <w:sz w:val="24"/>
          <w:szCs w:val="24"/>
          <w:lang w:val="fr-FR"/>
        </w:rPr>
        <w:t xml:space="preserve">, </w:t>
      </w:r>
      <w:r w:rsidRPr="00634580">
        <w:rPr>
          <w:rFonts w:ascii="Arial" w:hAnsi="Arial" w:cs="Arial"/>
          <w:i/>
          <w:iCs/>
          <w:sz w:val="24"/>
          <w:szCs w:val="24"/>
          <w:lang w:val="fr-FR"/>
        </w:rPr>
        <w:t>97</w:t>
      </w:r>
      <w:r w:rsidRPr="00634580">
        <w:rPr>
          <w:rFonts w:ascii="Arial" w:hAnsi="Arial" w:cs="Arial"/>
          <w:sz w:val="24"/>
          <w:szCs w:val="24"/>
          <w:lang w:val="fr-FR"/>
        </w:rPr>
        <w:t>(1), 6–8.</w:t>
      </w:r>
    </w:p>
    <w:p w14:paraId="20CF298C"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Kickbusch, I. (2016). Global Health Governance Challenges 2016 – Are We Ready? </w:t>
      </w:r>
      <w:r w:rsidRPr="00634580">
        <w:rPr>
          <w:rFonts w:ascii="Arial" w:hAnsi="Arial" w:cs="Arial"/>
          <w:i/>
          <w:iCs/>
          <w:sz w:val="24"/>
          <w:szCs w:val="24"/>
          <w:lang w:val="en-GB"/>
        </w:rPr>
        <w:t>International Journal of Health Policy and Management</w:t>
      </w:r>
      <w:r w:rsidRPr="00634580">
        <w:rPr>
          <w:rFonts w:ascii="Arial" w:hAnsi="Arial" w:cs="Arial"/>
          <w:sz w:val="24"/>
          <w:szCs w:val="24"/>
          <w:lang w:val="en-GB"/>
        </w:rPr>
        <w:t xml:space="preserve">, </w:t>
      </w:r>
      <w:r w:rsidRPr="00634580">
        <w:rPr>
          <w:rFonts w:ascii="Arial" w:hAnsi="Arial" w:cs="Arial"/>
          <w:i/>
          <w:iCs/>
          <w:sz w:val="24"/>
          <w:szCs w:val="24"/>
          <w:lang w:val="en-GB"/>
        </w:rPr>
        <w:t>5</w:t>
      </w:r>
      <w:r w:rsidRPr="00634580">
        <w:rPr>
          <w:rFonts w:ascii="Arial" w:hAnsi="Arial" w:cs="Arial"/>
          <w:sz w:val="24"/>
          <w:szCs w:val="24"/>
          <w:lang w:val="en-GB"/>
        </w:rPr>
        <w:t>(6), 349–353. https://doi.org/10.15171/ijhpm.2016.27</w:t>
      </w:r>
    </w:p>
    <w:p w14:paraId="4679AC5C"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Kickbusch, I., &amp; Reddy, K. S. (2015). Global health governance—The next political revolution. </w:t>
      </w:r>
      <w:r w:rsidRPr="00634580">
        <w:rPr>
          <w:rFonts w:ascii="Arial" w:hAnsi="Arial" w:cs="Arial"/>
          <w:i/>
          <w:iCs/>
          <w:sz w:val="24"/>
          <w:szCs w:val="24"/>
          <w:lang w:val="en-GB"/>
        </w:rPr>
        <w:t>Public Health</w:t>
      </w:r>
      <w:r w:rsidRPr="00634580">
        <w:rPr>
          <w:rFonts w:ascii="Arial" w:hAnsi="Arial" w:cs="Arial"/>
          <w:sz w:val="24"/>
          <w:szCs w:val="24"/>
          <w:lang w:val="en-GB"/>
        </w:rPr>
        <w:t xml:space="preserve">, </w:t>
      </w:r>
      <w:r w:rsidRPr="00634580">
        <w:rPr>
          <w:rFonts w:ascii="Arial" w:hAnsi="Arial" w:cs="Arial"/>
          <w:i/>
          <w:iCs/>
          <w:sz w:val="24"/>
          <w:szCs w:val="24"/>
          <w:lang w:val="en-GB"/>
        </w:rPr>
        <w:t>129</w:t>
      </w:r>
      <w:r w:rsidRPr="00634580">
        <w:rPr>
          <w:rFonts w:ascii="Arial" w:hAnsi="Arial" w:cs="Arial"/>
          <w:sz w:val="24"/>
          <w:szCs w:val="24"/>
          <w:lang w:val="en-GB"/>
        </w:rPr>
        <w:t>(7), 838–842. https://doi.org/10.1016/j.puhe.2015.04.014</w:t>
      </w:r>
    </w:p>
    <w:p w14:paraId="44D630B8"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Kickbusch, I., &amp; Szabo, M. M. C. (2013). A new governance space for health. </w:t>
      </w:r>
      <w:r w:rsidRPr="00634580">
        <w:rPr>
          <w:rFonts w:ascii="Arial" w:hAnsi="Arial" w:cs="Arial"/>
          <w:i/>
          <w:iCs/>
          <w:sz w:val="24"/>
          <w:szCs w:val="24"/>
          <w:lang w:val="en-GB"/>
        </w:rPr>
        <w:t>Global Health Action</w:t>
      </w:r>
      <w:r w:rsidRPr="00634580">
        <w:rPr>
          <w:rFonts w:ascii="Arial" w:hAnsi="Arial" w:cs="Arial"/>
          <w:sz w:val="24"/>
          <w:szCs w:val="24"/>
          <w:lang w:val="en-GB"/>
        </w:rPr>
        <w:t xml:space="preserve">, </w:t>
      </w:r>
      <w:r w:rsidRPr="00634580">
        <w:rPr>
          <w:rFonts w:ascii="Arial" w:hAnsi="Arial" w:cs="Arial"/>
          <w:i/>
          <w:iCs/>
          <w:sz w:val="24"/>
          <w:szCs w:val="24"/>
          <w:lang w:val="en-GB"/>
        </w:rPr>
        <w:t>7</w:t>
      </w:r>
      <w:r w:rsidRPr="00634580">
        <w:rPr>
          <w:rFonts w:ascii="Arial" w:hAnsi="Arial" w:cs="Arial"/>
          <w:sz w:val="24"/>
          <w:szCs w:val="24"/>
          <w:lang w:val="en-GB"/>
        </w:rPr>
        <w:t>, 23507.</w:t>
      </w:r>
    </w:p>
    <w:p w14:paraId="6817E0E0"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Kirmayer, L. J. (2012). Cultural competence and evidence-based practice in mental health: Epistemic communities and the politics of pluralism. </w:t>
      </w:r>
      <w:r w:rsidRPr="00634580">
        <w:rPr>
          <w:rFonts w:ascii="Arial" w:hAnsi="Arial" w:cs="Arial"/>
          <w:i/>
          <w:iCs/>
          <w:sz w:val="24"/>
          <w:szCs w:val="24"/>
          <w:lang w:val="en-GB"/>
        </w:rPr>
        <w:t>Social Science &amp; Medicine</w:t>
      </w:r>
      <w:r w:rsidRPr="00634580">
        <w:rPr>
          <w:rFonts w:ascii="Arial" w:hAnsi="Arial" w:cs="Arial"/>
          <w:sz w:val="24"/>
          <w:szCs w:val="24"/>
          <w:lang w:val="en-GB"/>
        </w:rPr>
        <w:t xml:space="preserve">, </w:t>
      </w:r>
      <w:r w:rsidRPr="00634580">
        <w:rPr>
          <w:rFonts w:ascii="Arial" w:hAnsi="Arial" w:cs="Arial"/>
          <w:i/>
          <w:iCs/>
          <w:sz w:val="24"/>
          <w:szCs w:val="24"/>
          <w:lang w:val="en-GB"/>
        </w:rPr>
        <w:t>75</w:t>
      </w:r>
      <w:r w:rsidRPr="00634580">
        <w:rPr>
          <w:rFonts w:ascii="Arial" w:hAnsi="Arial" w:cs="Arial"/>
          <w:sz w:val="24"/>
          <w:szCs w:val="24"/>
          <w:lang w:val="en-GB"/>
        </w:rPr>
        <w:t>(2), 249–256. https://doi.org/10.1016/j.socscimed.2012.03.018</w:t>
      </w:r>
    </w:p>
    <w:p w14:paraId="771AF000"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Kitchin, R., Coletta, C., Evans, L., Heaphy, L., &amp; MacDonncha, D. (2017). Smart cities, epistemic communities, advocacy coalitions and the `last mile’ problem. </w:t>
      </w:r>
      <w:r w:rsidRPr="00634580">
        <w:rPr>
          <w:rFonts w:ascii="Arial" w:hAnsi="Arial" w:cs="Arial"/>
          <w:i/>
          <w:iCs/>
          <w:sz w:val="24"/>
          <w:szCs w:val="24"/>
          <w:lang w:val="en-GB"/>
        </w:rPr>
        <w:t>It - Information Technology</w:t>
      </w:r>
      <w:r w:rsidRPr="00634580">
        <w:rPr>
          <w:rFonts w:ascii="Arial" w:hAnsi="Arial" w:cs="Arial"/>
          <w:sz w:val="24"/>
          <w:szCs w:val="24"/>
          <w:lang w:val="en-GB"/>
        </w:rPr>
        <w:t xml:space="preserve">, </w:t>
      </w:r>
      <w:r w:rsidRPr="00634580">
        <w:rPr>
          <w:rFonts w:ascii="Arial" w:hAnsi="Arial" w:cs="Arial"/>
          <w:i/>
          <w:iCs/>
          <w:sz w:val="24"/>
          <w:szCs w:val="24"/>
          <w:lang w:val="en-GB"/>
        </w:rPr>
        <w:t>59</w:t>
      </w:r>
      <w:r w:rsidRPr="00634580">
        <w:rPr>
          <w:rFonts w:ascii="Arial" w:hAnsi="Arial" w:cs="Arial"/>
          <w:sz w:val="24"/>
          <w:szCs w:val="24"/>
          <w:lang w:val="en-GB"/>
        </w:rPr>
        <w:t>(6), 275–284. https://doi.org/10.1515/itit-2017-0004</w:t>
      </w:r>
    </w:p>
    <w:p w14:paraId="5F762F27"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Koh, J., Kim, Y.-G., Butler, B., &amp; Bock, G.-W. (2007). Encouraging Participation in Virtual Communities. </w:t>
      </w:r>
      <w:r w:rsidRPr="00634580">
        <w:rPr>
          <w:rFonts w:ascii="Arial" w:hAnsi="Arial" w:cs="Arial"/>
          <w:i/>
          <w:iCs/>
          <w:sz w:val="24"/>
          <w:szCs w:val="24"/>
          <w:lang w:val="en-GB"/>
        </w:rPr>
        <w:t>Commun. ACM</w:t>
      </w:r>
      <w:r w:rsidRPr="00634580">
        <w:rPr>
          <w:rFonts w:ascii="Arial" w:hAnsi="Arial" w:cs="Arial"/>
          <w:sz w:val="24"/>
          <w:szCs w:val="24"/>
          <w:lang w:val="en-GB"/>
        </w:rPr>
        <w:t xml:space="preserve">, </w:t>
      </w:r>
      <w:r w:rsidRPr="00634580">
        <w:rPr>
          <w:rFonts w:ascii="Arial" w:hAnsi="Arial" w:cs="Arial"/>
          <w:i/>
          <w:iCs/>
          <w:sz w:val="24"/>
          <w:szCs w:val="24"/>
          <w:lang w:val="en-GB"/>
        </w:rPr>
        <w:t>50</w:t>
      </w:r>
      <w:r w:rsidRPr="00634580">
        <w:rPr>
          <w:rFonts w:ascii="Arial" w:hAnsi="Arial" w:cs="Arial"/>
          <w:sz w:val="24"/>
          <w:szCs w:val="24"/>
          <w:lang w:val="en-GB"/>
        </w:rPr>
        <w:t>(2), 68–73. https://doi.org/10.1145/1216016.1216023</w:t>
      </w:r>
    </w:p>
    <w:p w14:paraId="53FBCE72"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Kritz, J. (2018). Effective cross-sector collaborations create sustainability. </w:t>
      </w:r>
      <w:r w:rsidRPr="00634580">
        <w:rPr>
          <w:rFonts w:ascii="Arial" w:hAnsi="Arial" w:cs="Arial"/>
          <w:i/>
          <w:iCs/>
          <w:sz w:val="24"/>
          <w:szCs w:val="24"/>
          <w:lang w:val="en-GB"/>
        </w:rPr>
        <w:t>The Lancet Global Health</w:t>
      </w:r>
      <w:r w:rsidRPr="00634580">
        <w:rPr>
          <w:rFonts w:ascii="Arial" w:hAnsi="Arial" w:cs="Arial"/>
          <w:sz w:val="24"/>
          <w:szCs w:val="24"/>
          <w:lang w:val="en-GB"/>
        </w:rPr>
        <w:t xml:space="preserve">, </w:t>
      </w:r>
      <w:r w:rsidRPr="00634580">
        <w:rPr>
          <w:rFonts w:ascii="Arial" w:hAnsi="Arial" w:cs="Arial"/>
          <w:i/>
          <w:iCs/>
          <w:sz w:val="24"/>
          <w:szCs w:val="24"/>
          <w:lang w:val="en-GB"/>
        </w:rPr>
        <w:t>6</w:t>
      </w:r>
      <w:r w:rsidRPr="00634580">
        <w:rPr>
          <w:rFonts w:ascii="Arial" w:hAnsi="Arial" w:cs="Arial"/>
          <w:sz w:val="24"/>
          <w:szCs w:val="24"/>
          <w:lang w:val="en-GB"/>
        </w:rPr>
        <w:t>(9), e952–e953. https://doi.org/10.1016/S2214-109X(18)30299-7</w:t>
      </w:r>
    </w:p>
    <w:p w14:paraId="7E2BDF1A"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Kruk, M. E. (2012). Globalisation and global health governance: Implications for public health. </w:t>
      </w:r>
      <w:r w:rsidRPr="00634580">
        <w:rPr>
          <w:rFonts w:ascii="Arial" w:hAnsi="Arial" w:cs="Arial"/>
          <w:i/>
          <w:iCs/>
          <w:sz w:val="24"/>
          <w:szCs w:val="24"/>
          <w:lang w:val="en-GB"/>
        </w:rPr>
        <w:t>Global Public Health</w:t>
      </w:r>
      <w:r w:rsidRPr="00634580">
        <w:rPr>
          <w:rFonts w:ascii="Arial" w:hAnsi="Arial" w:cs="Arial"/>
          <w:sz w:val="24"/>
          <w:szCs w:val="24"/>
          <w:lang w:val="en-GB"/>
        </w:rPr>
        <w:t xml:space="preserve">, </w:t>
      </w:r>
      <w:r w:rsidRPr="00634580">
        <w:rPr>
          <w:rFonts w:ascii="Arial" w:hAnsi="Arial" w:cs="Arial"/>
          <w:i/>
          <w:iCs/>
          <w:sz w:val="24"/>
          <w:szCs w:val="24"/>
          <w:lang w:val="en-GB"/>
        </w:rPr>
        <w:t>7</w:t>
      </w:r>
      <w:r w:rsidRPr="00634580">
        <w:rPr>
          <w:rFonts w:ascii="Arial" w:hAnsi="Arial" w:cs="Arial"/>
          <w:sz w:val="24"/>
          <w:szCs w:val="24"/>
          <w:lang w:val="en-GB"/>
        </w:rPr>
        <w:t>(sup1), S54–S62. https://doi.org/10.1080/17441692.2012.689313</w:t>
      </w:r>
    </w:p>
    <w:p w14:paraId="741AD3AA"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Labonté, R. (2014). Health in All (Foreign) Policy: Challenges in achieving coherence. </w:t>
      </w:r>
      <w:r w:rsidRPr="00634580">
        <w:rPr>
          <w:rFonts w:ascii="Arial" w:hAnsi="Arial" w:cs="Arial"/>
          <w:i/>
          <w:iCs/>
          <w:sz w:val="24"/>
          <w:szCs w:val="24"/>
          <w:lang w:val="en-GB"/>
        </w:rPr>
        <w:t>Health Promotion International</w:t>
      </w:r>
      <w:r w:rsidRPr="00634580">
        <w:rPr>
          <w:rFonts w:ascii="Arial" w:hAnsi="Arial" w:cs="Arial"/>
          <w:sz w:val="24"/>
          <w:szCs w:val="24"/>
          <w:lang w:val="en-GB"/>
        </w:rPr>
        <w:t xml:space="preserve">, </w:t>
      </w:r>
      <w:r w:rsidRPr="00634580">
        <w:rPr>
          <w:rFonts w:ascii="Arial" w:hAnsi="Arial" w:cs="Arial"/>
          <w:i/>
          <w:iCs/>
          <w:sz w:val="24"/>
          <w:szCs w:val="24"/>
          <w:lang w:val="en-GB"/>
        </w:rPr>
        <w:t>29 Suppl 1</w:t>
      </w:r>
      <w:r w:rsidRPr="00634580">
        <w:rPr>
          <w:rFonts w:ascii="Arial" w:hAnsi="Arial" w:cs="Arial"/>
          <w:sz w:val="24"/>
          <w:szCs w:val="24"/>
          <w:lang w:val="en-GB"/>
        </w:rPr>
        <w:t>, i48-58. https://doi.org/10.1093/heapro/dau031</w:t>
      </w:r>
    </w:p>
    <w:p w14:paraId="44371E43"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lastRenderedPageBreak/>
        <w:t xml:space="preserve">Labonté, R., Mohindra, K., &amp; Schrecker, T. (2011). The growing impact of globalization for health and public health practice. </w:t>
      </w:r>
      <w:r w:rsidRPr="00634580">
        <w:rPr>
          <w:rFonts w:ascii="Arial" w:hAnsi="Arial" w:cs="Arial"/>
          <w:i/>
          <w:iCs/>
          <w:sz w:val="24"/>
          <w:szCs w:val="24"/>
          <w:lang w:val="en-GB"/>
        </w:rPr>
        <w:t>Annual Review of Public Health</w:t>
      </w:r>
      <w:r w:rsidRPr="00634580">
        <w:rPr>
          <w:rFonts w:ascii="Arial" w:hAnsi="Arial" w:cs="Arial"/>
          <w:sz w:val="24"/>
          <w:szCs w:val="24"/>
          <w:lang w:val="en-GB"/>
        </w:rPr>
        <w:t xml:space="preserve">, </w:t>
      </w:r>
      <w:r w:rsidRPr="00634580">
        <w:rPr>
          <w:rFonts w:ascii="Arial" w:hAnsi="Arial" w:cs="Arial"/>
          <w:i/>
          <w:iCs/>
          <w:sz w:val="24"/>
          <w:szCs w:val="24"/>
          <w:lang w:val="en-GB"/>
        </w:rPr>
        <w:t>32</w:t>
      </w:r>
      <w:r w:rsidRPr="00634580">
        <w:rPr>
          <w:rFonts w:ascii="Arial" w:hAnsi="Arial" w:cs="Arial"/>
          <w:sz w:val="24"/>
          <w:szCs w:val="24"/>
          <w:lang w:val="en-GB"/>
        </w:rPr>
        <w:t>, 263–283. https://doi.org/10.1146/annurev-publhealth-031210-101225</w:t>
      </w:r>
    </w:p>
    <w:p w14:paraId="1190D3C6"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Lackie, K., Najjar, G., El-Awaisi, A., Frost, J., Green, C., Langlois, S., Lising, D., Pfeifle, A. L., Ward, H., Xyrichis, A., &amp; Khalili, H. (2020). Interprofessional education and collaborative practice research during the COVID-19 pandemic: Considerations to advance the field. </w:t>
      </w:r>
      <w:r w:rsidRPr="00634580">
        <w:rPr>
          <w:rFonts w:ascii="Arial" w:hAnsi="Arial" w:cs="Arial"/>
          <w:i/>
          <w:iCs/>
          <w:sz w:val="24"/>
          <w:szCs w:val="24"/>
          <w:lang w:val="en-GB"/>
        </w:rPr>
        <w:t>Journal of Interprofessional Care</w:t>
      </w:r>
      <w:r w:rsidRPr="00634580">
        <w:rPr>
          <w:rFonts w:ascii="Arial" w:hAnsi="Arial" w:cs="Arial"/>
          <w:sz w:val="24"/>
          <w:szCs w:val="24"/>
          <w:lang w:val="en-GB"/>
        </w:rPr>
        <w:t xml:space="preserve">, </w:t>
      </w:r>
      <w:r w:rsidRPr="00634580">
        <w:rPr>
          <w:rFonts w:ascii="Arial" w:hAnsi="Arial" w:cs="Arial"/>
          <w:i/>
          <w:iCs/>
          <w:sz w:val="24"/>
          <w:szCs w:val="24"/>
          <w:lang w:val="en-GB"/>
        </w:rPr>
        <w:t>34</w:t>
      </w:r>
      <w:r w:rsidRPr="00634580">
        <w:rPr>
          <w:rFonts w:ascii="Arial" w:hAnsi="Arial" w:cs="Arial"/>
          <w:sz w:val="24"/>
          <w:szCs w:val="24"/>
          <w:lang w:val="en-GB"/>
        </w:rPr>
        <w:t>(5), 583–586. https://doi.org/10.1080/13561820.2020.1807481</w:t>
      </w:r>
    </w:p>
    <w:p w14:paraId="7C1907D3"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Lave, J., &amp; Wenger, E. (1991). </w:t>
      </w:r>
      <w:r w:rsidRPr="00634580">
        <w:rPr>
          <w:rFonts w:ascii="Arial" w:hAnsi="Arial" w:cs="Arial"/>
          <w:i/>
          <w:iCs/>
          <w:sz w:val="24"/>
          <w:szCs w:val="24"/>
          <w:lang w:val="en-GB"/>
        </w:rPr>
        <w:t>Situated Learning: Legitimate Peripheral Participation</w:t>
      </w:r>
      <w:r w:rsidRPr="00634580">
        <w:rPr>
          <w:rFonts w:ascii="Arial" w:hAnsi="Arial" w:cs="Arial"/>
          <w:sz w:val="24"/>
          <w:szCs w:val="24"/>
          <w:lang w:val="en-GB"/>
        </w:rPr>
        <w:t>. Cambridge University Press.</w:t>
      </w:r>
    </w:p>
    <w:p w14:paraId="674E32FE"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Lawrence, D. S., &amp; Gyapong, M. (2020). Spotlight on global health research. </w:t>
      </w:r>
      <w:r w:rsidRPr="00634580">
        <w:rPr>
          <w:rFonts w:ascii="Arial" w:hAnsi="Arial" w:cs="Arial"/>
          <w:i/>
          <w:iCs/>
          <w:sz w:val="24"/>
          <w:szCs w:val="24"/>
          <w:lang w:val="en-GB"/>
        </w:rPr>
        <w:t>International Health</w:t>
      </w:r>
      <w:r w:rsidRPr="00634580">
        <w:rPr>
          <w:rFonts w:ascii="Arial" w:hAnsi="Arial" w:cs="Arial"/>
          <w:sz w:val="24"/>
          <w:szCs w:val="24"/>
          <w:lang w:val="en-GB"/>
        </w:rPr>
        <w:t xml:space="preserve">, </w:t>
      </w:r>
      <w:r w:rsidRPr="00634580">
        <w:rPr>
          <w:rFonts w:ascii="Arial" w:hAnsi="Arial" w:cs="Arial"/>
          <w:i/>
          <w:iCs/>
          <w:sz w:val="24"/>
          <w:szCs w:val="24"/>
          <w:lang w:val="en-GB"/>
        </w:rPr>
        <w:t>12</w:t>
      </w:r>
      <w:r w:rsidRPr="00634580">
        <w:rPr>
          <w:rFonts w:ascii="Arial" w:hAnsi="Arial" w:cs="Arial"/>
          <w:sz w:val="24"/>
          <w:szCs w:val="24"/>
          <w:lang w:val="en-GB"/>
        </w:rPr>
        <w:t>(6), 507–508. https://doi.org/10.1093/inthealth/ihaa082</w:t>
      </w:r>
    </w:p>
    <w:p w14:paraId="3E073887"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Lawrence, D. S., &amp; Hirsch, L. A. (2020). Decolonising global health: Transnational research partnerships under the spotlight. </w:t>
      </w:r>
      <w:r w:rsidRPr="00634580">
        <w:rPr>
          <w:rFonts w:ascii="Arial" w:hAnsi="Arial" w:cs="Arial"/>
          <w:i/>
          <w:iCs/>
          <w:sz w:val="24"/>
          <w:szCs w:val="24"/>
          <w:lang w:val="en-GB"/>
        </w:rPr>
        <w:t>International Health</w:t>
      </w:r>
      <w:r w:rsidRPr="00634580">
        <w:rPr>
          <w:rFonts w:ascii="Arial" w:hAnsi="Arial" w:cs="Arial"/>
          <w:sz w:val="24"/>
          <w:szCs w:val="24"/>
          <w:lang w:val="en-GB"/>
        </w:rPr>
        <w:t xml:space="preserve">, </w:t>
      </w:r>
      <w:r w:rsidRPr="00634580">
        <w:rPr>
          <w:rFonts w:ascii="Arial" w:hAnsi="Arial" w:cs="Arial"/>
          <w:i/>
          <w:iCs/>
          <w:sz w:val="24"/>
          <w:szCs w:val="24"/>
          <w:lang w:val="en-GB"/>
        </w:rPr>
        <w:t>12</w:t>
      </w:r>
      <w:r w:rsidRPr="00634580">
        <w:rPr>
          <w:rFonts w:ascii="Arial" w:hAnsi="Arial" w:cs="Arial"/>
          <w:sz w:val="24"/>
          <w:szCs w:val="24"/>
          <w:lang w:val="en-GB"/>
        </w:rPr>
        <w:t>(6), 518–523. https://doi.org/10.1093/inthealth/ihaa073</w:t>
      </w:r>
    </w:p>
    <w:p w14:paraId="36106F5B"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Lazakidou, A. A. (2012). </w:t>
      </w:r>
      <w:r w:rsidRPr="00634580">
        <w:rPr>
          <w:rFonts w:ascii="Arial" w:hAnsi="Arial" w:cs="Arial"/>
          <w:i/>
          <w:iCs/>
          <w:sz w:val="24"/>
          <w:szCs w:val="24"/>
          <w:lang w:val="en-GB"/>
        </w:rPr>
        <w:t>Virtual Communities, Social Networks and Collaboration</w:t>
      </w:r>
      <w:r w:rsidRPr="00634580">
        <w:rPr>
          <w:rFonts w:ascii="Arial" w:hAnsi="Arial" w:cs="Arial"/>
          <w:sz w:val="24"/>
          <w:szCs w:val="24"/>
          <w:lang w:val="en-GB"/>
        </w:rPr>
        <w:t>. Springer Science &amp; Business Media.</w:t>
      </w:r>
    </w:p>
    <w:p w14:paraId="2F8CC782"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Lee, D., Heo, Y., &amp; Kim, K. (2020). A Strategy for International Cooperation in the COVID-19 Pandemic Era: Focusing on National Scientific Funding Data. </w:t>
      </w:r>
      <w:r w:rsidRPr="00634580">
        <w:rPr>
          <w:rFonts w:ascii="Arial" w:hAnsi="Arial" w:cs="Arial"/>
          <w:i/>
          <w:iCs/>
          <w:sz w:val="24"/>
          <w:szCs w:val="24"/>
          <w:lang w:val="en-GB"/>
        </w:rPr>
        <w:t>Healthcare</w:t>
      </w:r>
      <w:r w:rsidRPr="00634580">
        <w:rPr>
          <w:rFonts w:ascii="Arial" w:hAnsi="Arial" w:cs="Arial"/>
          <w:sz w:val="24"/>
          <w:szCs w:val="24"/>
          <w:lang w:val="en-GB"/>
        </w:rPr>
        <w:t xml:space="preserve">, </w:t>
      </w:r>
      <w:r w:rsidRPr="00634580">
        <w:rPr>
          <w:rFonts w:ascii="Arial" w:hAnsi="Arial" w:cs="Arial"/>
          <w:i/>
          <w:iCs/>
          <w:sz w:val="24"/>
          <w:szCs w:val="24"/>
          <w:lang w:val="en-GB"/>
        </w:rPr>
        <w:t>8</w:t>
      </w:r>
      <w:r w:rsidRPr="00634580">
        <w:rPr>
          <w:rFonts w:ascii="Arial" w:hAnsi="Arial" w:cs="Arial"/>
          <w:sz w:val="24"/>
          <w:szCs w:val="24"/>
          <w:lang w:val="en-GB"/>
        </w:rPr>
        <w:t>(3), 204. https://doi.org/10.3390/healthcare8030204</w:t>
      </w:r>
    </w:p>
    <w:p w14:paraId="46CE8AB6"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Lee, K. (2010). Civil Society Organizations and the Functions of Global Health Governance: What Role within Intergovernmental Organizations? </w:t>
      </w:r>
      <w:r w:rsidRPr="00634580">
        <w:rPr>
          <w:rFonts w:ascii="Arial" w:hAnsi="Arial" w:cs="Arial"/>
          <w:i/>
          <w:iCs/>
          <w:sz w:val="24"/>
          <w:szCs w:val="24"/>
          <w:lang w:val="en-GB"/>
        </w:rPr>
        <w:t>Global Health Governance : The Scholarly Journal for the New Health Security Paradigm</w:t>
      </w:r>
      <w:r w:rsidRPr="00634580">
        <w:rPr>
          <w:rFonts w:ascii="Arial" w:hAnsi="Arial" w:cs="Arial"/>
          <w:sz w:val="24"/>
          <w:szCs w:val="24"/>
          <w:lang w:val="en-GB"/>
        </w:rPr>
        <w:t xml:space="preserve">, </w:t>
      </w:r>
      <w:r w:rsidRPr="00634580">
        <w:rPr>
          <w:rFonts w:ascii="Arial" w:hAnsi="Arial" w:cs="Arial"/>
          <w:i/>
          <w:iCs/>
          <w:sz w:val="24"/>
          <w:szCs w:val="24"/>
          <w:lang w:val="en-GB"/>
        </w:rPr>
        <w:t>3</w:t>
      </w:r>
      <w:r w:rsidRPr="00634580">
        <w:rPr>
          <w:rFonts w:ascii="Arial" w:hAnsi="Arial" w:cs="Arial"/>
          <w:sz w:val="24"/>
          <w:szCs w:val="24"/>
          <w:lang w:val="en-GB"/>
        </w:rPr>
        <w:t>(2), http://blogs.shu.edu/ghg/files/2011/11/Lee_Civil-Society-Organizations-and-the-Functions-of-Global-Health-Governance_Spring-2010.pdf.</w:t>
      </w:r>
    </w:p>
    <w:p w14:paraId="7CAC42B4"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Maddock, J. (2012). </w:t>
      </w:r>
      <w:r w:rsidRPr="00634580">
        <w:rPr>
          <w:rFonts w:ascii="Arial" w:hAnsi="Arial" w:cs="Arial"/>
          <w:i/>
          <w:iCs/>
          <w:sz w:val="24"/>
          <w:szCs w:val="24"/>
          <w:lang w:val="en-GB"/>
        </w:rPr>
        <w:t>Public Health: Social and Behavioral Health</w:t>
      </w:r>
      <w:r w:rsidRPr="00634580">
        <w:rPr>
          <w:rFonts w:ascii="Arial" w:hAnsi="Arial" w:cs="Arial"/>
          <w:sz w:val="24"/>
          <w:szCs w:val="24"/>
          <w:lang w:val="en-GB"/>
        </w:rPr>
        <w:t>. BoD – Books on Demand.</w:t>
      </w:r>
    </w:p>
    <w:p w14:paraId="7787E461"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lastRenderedPageBreak/>
        <w:t xml:space="preserve">Maleka, E. N., Currie, P., &amp; Schneider, H. (2019). Research collaboration on community health worker programmes in low-income countries: An analysis of authorship teams and networks. </w:t>
      </w:r>
      <w:r w:rsidRPr="00634580">
        <w:rPr>
          <w:rFonts w:ascii="Arial" w:hAnsi="Arial" w:cs="Arial"/>
          <w:i/>
          <w:iCs/>
          <w:sz w:val="24"/>
          <w:szCs w:val="24"/>
          <w:lang w:val="en-GB"/>
        </w:rPr>
        <w:t>Global Health Action</w:t>
      </w:r>
      <w:r w:rsidRPr="00634580">
        <w:rPr>
          <w:rFonts w:ascii="Arial" w:hAnsi="Arial" w:cs="Arial"/>
          <w:sz w:val="24"/>
          <w:szCs w:val="24"/>
          <w:lang w:val="en-GB"/>
        </w:rPr>
        <w:t xml:space="preserve">, </w:t>
      </w:r>
      <w:r w:rsidRPr="00634580">
        <w:rPr>
          <w:rFonts w:ascii="Arial" w:hAnsi="Arial" w:cs="Arial"/>
          <w:i/>
          <w:iCs/>
          <w:sz w:val="24"/>
          <w:szCs w:val="24"/>
          <w:lang w:val="en-GB"/>
        </w:rPr>
        <w:t>12</w:t>
      </w:r>
      <w:r w:rsidRPr="00634580">
        <w:rPr>
          <w:rFonts w:ascii="Arial" w:hAnsi="Arial" w:cs="Arial"/>
          <w:sz w:val="24"/>
          <w:szCs w:val="24"/>
          <w:lang w:val="en-GB"/>
        </w:rPr>
        <w:t>(1), 1606570. https://doi.org/10.1080/16549716.2019.1606570</w:t>
      </w:r>
    </w:p>
    <w:p w14:paraId="33515A25"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Marshall, A., &amp; Batten, S. (2004). Researching Across Cultures: Issues of Ethics and Power. </w:t>
      </w:r>
      <w:r w:rsidRPr="00634580">
        <w:rPr>
          <w:rFonts w:ascii="Arial" w:hAnsi="Arial" w:cs="Arial"/>
          <w:i/>
          <w:iCs/>
          <w:sz w:val="24"/>
          <w:szCs w:val="24"/>
          <w:lang w:val="en-GB"/>
        </w:rPr>
        <w:t>Forum Qualitative Sozialforschung / Forum: Qualitative Social Research</w:t>
      </w:r>
      <w:r w:rsidRPr="00634580">
        <w:rPr>
          <w:rFonts w:ascii="Arial" w:hAnsi="Arial" w:cs="Arial"/>
          <w:sz w:val="24"/>
          <w:szCs w:val="24"/>
          <w:lang w:val="en-GB"/>
        </w:rPr>
        <w:t xml:space="preserve">, </w:t>
      </w:r>
      <w:r w:rsidRPr="00634580">
        <w:rPr>
          <w:rFonts w:ascii="Arial" w:hAnsi="Arial" w:cs="Arial"/>
          <w:i/>
          <w:iCs/>
          <w:sz w:val="24"/>
          <w:szCs w:val="24"/>
          <w:lang w:val="en-GB"/>
        </w:rPr>
        <w:t>5</w:t>
      </w:r>
      <w:r w:rsidRPr="00634580">
        <w:rPr>
          <w:rFonts w:ascii="Arial" w:hAnsi="Arial" w:cs="Arial"/>
          <w:sz w:val="24"/>
          <w:szCs w:val="24"/>
          <w:lang w:val="en-GB"/>
        </w:rPr>
        <w:t>(3), Article 3. https://doi.org/10.17169/fqs-5.3.572</w:t>
      </w:r>
    </w:p>
    <w:p w14:paraId="52FC0F7D"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Mason, P. H., Kerridge, I., &amp; Lipworth, W. (2017). The Global in Global Health is Not a Given. </w:t>
      </w:r>
      <w:r w:rsidRPr="00634580">
        <w:rPr>
          <w:rFonts w:ascii="Arial" w:hAnsi="Arial" w:cs="Arial"/>
          <w:i/>
          <w:iCs/>
          <w:sz w:val="24"/>
          <w:szCs w:val="24"/>
          <w:lang w:val="en-GB"/>
        </w:rPr>
        <w:t>The American Journal of Tropical Medicine and Hygiene</w:t>
      </w:r>
      <w:r w:rsidRPr="00634580">
        <w:rPr>
          <w:rFonts w:ascii="Arial" w:hAnsi="Arial" w:cs="Arial"/>
          <w:sz w:val="24"/>
          <w:szCs w:val="24"/>
          <w:lang w:val="en-GB"/>
        </w:rPr>
        <w:t xml:space="preserve">, </w:t>
      </w:r>
      <w:r w:rsidRPr="00634580">
        <w:rPr>
          <w:rFonts w:ascii="Arial" w:hAnsi="Arial" w:cs="Arial"/>
          <w:i/>
          <w:iCs/>
          <w:sz w:val="24"/>
          <w:szCs w:val="24"/>
          <w:lang w:val="en-GB"/>
        </w:rPr>
        <w:t>96</w:t>
      </w:r>
      <w:r w:rsidRPr="00634580">
        <w:rPr>
          <w:rFonts w:ascii="Arial" w:hAnsi="Arial" w:cs="Arial"/>
          <w:sz w:val="24"/>
          <w:szCs w:val="24"/>
          <w:lang w:val="en-GB"/>
        </w:rPr>
        <w:t>(4), 767–769. https://doi.org/10.4269/ajtmh.16-0791</w:t>
      </w:r>
    </w:p>
    <w:p w14:paraId="2AEB0448"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fr-FR"/>
        </w:rPr>
        <w:t xml:space="preserve">Massé, R. (1995). </w:t>
      </w:r>
      <w:r w:rsidRPr="00634580">
        <w:rPr>
          <w:rFonts w:ascii="Arial" w:hAnsi="Arial" w:cs="Arial"/>
          <w:i/>
          <w:iCs/>
          <w:sz w:val="24"/>
          <w:szCs w:val="24"/>
          <w:lang w:val="fr-FR"/>
        </w:rPr>
        <w:t>Culture et santé publique: Les contributions de l’anthropologie à la prévention et à la promotion de la santé</w:t>
      </w:r>
      <w:r w:rsidRPr="00634580">
        <w:rPr>
          <w:rFonts w:ascii="Arial" w:hAnsi="Arial" w:cs="Arial"/>
          <w:sz w:val="24"/>
          <w:szCs w:val="24"/>
          <w:lang w:val="fr-FR"/>
        </w:rPr>
        <w:t xml:space="preserve">. </w:t>
      </w:r>
      <w:r w:rsidRPr="00634580">
        <w:rPr>
          <w:rFonts w:ascii="Arial" w:hAnsi="Arial" w:cs="Arial"/>
          <w:sz w:val="24"/>
          <w:szCs w:val="24"/>
          <w:lang w:val="en-GB"/>
        </w:rPr>
        <w:t>G. Morin.</w:t>
      </w:r>
    </w:p>
    <w:p w14:paraId="150FF7C7"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McInnes, C., Kamradt-Scott, A., Lee, K., Reubi, D., Roemer-Mahler, A., Rushton, S., &amp; Woodling, M. (2012). Framing global health: The governance challenge. </w:t>
      </w:r>
      <w:r w:rsidRPr="00634580">
        <w:rPr>
          <w:rFonts w:ascii="Arial" w:hAnsi="Arial" w:cs="Arial"/>
          <w:i/>
          <w:iCs/>
          <w:sz w:val="24"/>
          <w:szCs w:val="24"/>
          <w:lang w:val="en-GB"/>
        </w:rPr>
        <w:t>Global Public Health</w:t>
      </w:r>
      <w:r w:rsidRPr="00634580">
        <w:rPr>
          <w:rFonts w:ascii="Arial" w:hAnsi="Arial" w:cs="Arial"/>
          <w:sz w:val="24"/>
          <w:szCs w:val="24"/>
          <w:lang w:val="en-GB"/>
        </w:rPr>
        <w:t xml:space="preserve">, </w:t>
      </w:r>
      <w:r w:rsidRPr="00634580">
        <w:rPr>
          <w:rFonts w:ascii="Arial" w:hAnsi="Arial" w:cs="Arial"/>
          <w:i/>
          <w:iCs/>
          <w:sz w:val="24"/>
          <w:szCs w:val="24"/>
          <w:lang w:val="en-GB"/>
        </w:rPr>
        <w:t>7</w:t>
      </w:r>
      <w:r w:rsidRPr="00634580">
        <w:rPr>
          <w:rFonts w:ascii="Arial" w:hAnsi="Arial" w:cs="Arial"/>
          <w:sz w:val="24"/>
          <w:szCs w:val="24"/>
          <w:lang w:val="en-GB"/>
        </w:rPr>
        <w:t>(sup2), S83–S94. https://doi.org/10.1080/17441692.2012.733949</w:t>
      </w:r>
    </w:p>
    <w:p w14:paraId="20A15AEC"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Meessen, B., Kouanda, S., Musango, L., Richard, F., Ridde, V., &amp; Soucat, A. (2011). Communities of practice: The missing link for knowledge management on implementation issues in low-income countries? </w:t>
      </w:r>
      <w:r w:rsidRPr="00634580">
        <w:rPr>
          <w:rFonts w:ascii="Arial" w:hAnsi="Arial" w:cs="Arial"/>
          <w:i/>
          <w:iCs/>
          <w:sz w:val="24"/>
          <w:szCs w:val="24"/>
          <w:lang w:val="en-GB"/>
        </w:rPr>
        <w:t>Tropical Medicine &amp; International Health</w:t>
      </w:r>
      <w:r w:rsidRPr="00634580">
        <w:rPr>
          <w:rFonts w:ascii="Arial" w:hAnsi="Arial" w:cs="Arial"/>
          <w:sz w:val="24"/>
          <w:szCs w:val="24"/>
          <w:lang w:val="en-GB"/>
        </w:rPr>
        <w:t xml:space="preserve">, </w:t>
      </w:r>
      <w:r w:rsidRPr="00634580">
        <w:rPr>
          <w:rFonts w:ascii="Arial" w:hAnsi="Arial" w:cs="Arial"/>
          <w:i/>
          <w:iCs/>
          <w:sz w:val="24"/>
          <w:szCs w:val="24"/>
          <w:lang w:val="en-GB"/>
        </w:rPr>
        <w:t>16</w:t>
      </w:r>
      <w:r w:rsidRPr="00634580">
        <w:rPr>
          <w:rFonts w:ascii="Arial" w:hAnsi="Arial" w:cs="Arial"/>
          <w:sz w:val="24"/>
          <w:szCs w:val="24"/>
          <w:lang w:val="en-GB"/>
        </w:rPr>
        <w:t>(8), 1007–1014. https://doi.org/10.1111/j.1365-3156.2011.02794.x</w:t>
      </w:r>
    </w:p>
    <w:p w14:paraId="6929CA1A"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Miller, H. T., &amp; Fox, C. J. (2001). The Epistemic Community. </w:t>
      </w:r>
      <w:r w:rsidRPr="00634580">
        <w:rPr>
          <w:rFonts w:ascii="Arial" w:hAnsi="Arial" w:cs="Arial"/>
          <w:i/>
          <w:iCs/>
          <w:sz w:val="24"/>
          <w:szCs w:val="24"/>
          <w:lang w:val="en-GB"/>
        </w:rPr>
        <w:t>Administration &amp; Society</w:t>
      </w:r>
      <w:r w:rsidRPr="00634580">
        <w:rPr>
          <w:rFonts w:ascii="Arial" w:hAnsi="Arial" w:cs="Arial"/>
          <w:sz w:val="24"/>
          <w:szCs w:val="24"/>
          <w:lang w:val="en-GB"/>
        </w:rPr>
        <w:t xml:space="preserve">, </w:t>
      </w:r>
      <w:r w:rsidRPr="00634580">
        <w:rPr>
          <w:rFonts w:ascii="Arial" w:hAnsi="Arial" w:cs="Arial"/>
          <w:i/>
          <w:iCs/>
          <w:sz w:val="24"/>
          <w:szCs w:val="24"/>
          <w:lang w:val="en-GB"/>
        </w:rPr>
        <w:t>32</w:t>
      </w:r>
      <w:r w:rsidRPr="00634580">
        <w:rPr>
          <w:rFonts w:ascii="Arial" w:hAnsi="Arial" w:cs="Arial"/>
          <w:sz w:val="24"/>
          <w:szCs w:val="24"/>
          <w:lang w:val="en-GB"/>
        </w:rPr>
        <w:t>(6), 668–685. https://doi.org/10.1177/00953990122019613</w:t>
      </w:r>
    </w:p>
    <w:p w14:paraId="033B3465"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Minkler, M. (2005). Community-based research partnerships: Challenges and opportunities. </w:t>
      </w:r>
      <w:r w:rsidRPr="00634580">
        <w:rPr>
          <w:rFonts w:ascii="Arial" w:hAnsi="Arial" w:cs="Arial"/>
          <w:i/>
          <w:iCs/>
          <w:sz w:val="24"/>
          <w:szCs w:val="24"/>
          <w:lang w:val="en-GB"/>
        </w:rPr>
        <w:t>Journal of Urban Health</w:t>
      </w:r>
      <w:r w:rsidRPr="00634580">
        <w:rPr>
          <w:rFonts w:ascii="Arial" w:hAnsi="Arial" w:cs="Arial"/>
          <w:sz w:val="24"/>
          <w:szCs w:val="24"/>
          <w:lang w:val="en-GB"/>
        </w:rPr>
        <w:t xml:space="preserve">, </w:t>
      </w:r>
      <w:r w:rsidRPr="00634580">
        <w:rPr>
          <w:rFonts w:ascii="Arial" w:hAnsi="Arial" w:cs="Arial"/>
          <w:i/>
          <w:iCs/>
          <w:sz w:val="24"/>
          <w:szCs w:val="24"/>
          <w:lang w:val="en-GB"/>
        </w:rPr>
        <w:t>82</w:t>
      </w:r>
      <w:r w:rsidRPr="00634580">
        <w:rPr>
          <w:rFonts w:ascii="Arial" w:hAnsi="Arial" w:cs="Arial"/>
          <w:sz w:val="24"/>
          <w:szCs w:val="24"/>
          <w:lang w:val="en-GB"/>
        </w:rPr>
        <w:t>(2), ii3–ii12. https://doi.org/10.1093/jurban/jti034</w:t>
      </w:r>
    </w:p>
    <w:p w14:paraId="1155BE37"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Nagi, R., Rogers Van Katwyk, S., &amp; Hoffman, S. J. (2020). Using a rapid environmental scan methodology to map country-level global health research expertise in Canada. </w:t>
      </w:r>
      <w:r w:rsidRPr="00634580">
        <w:rPr>
          <w:rFonts w:ascii="Arial" w:hAnsi="Arial" w:cs="Arial"/>
          <w:i/>
          <w:iCs/>
          <w:sz w:val="24"/>
          <w:szCs w:val="24"/>
          <w:lang w:val="en-GB"/>
        </w:rPr>
        <w:t>Health Research Policy and Systems</w:t>
      </w:r>
      <w:r w:rsidRPr="00634580">
        <w:rPr>
          <w:rFonts w:ascii="Arial" w:hAnsi="Arial" w:cs="Arial"/>
          <w:sz w:val="24"/>
          <w:szCs w:val="24"/>
          <w:lang w:val="en-GB"/>
        </w:rPr>
        <w:t xml:space="preserve">, </w:t>
      </w:r>
      <w:r w:rsidRPr="00634580">
        <w:rPr>
          <w:rFonts w:ascii="Arial" w:hAnsi="Arial" w:cs="Arial"/>
          <w:i/>
          <w:iCs/>
          <w:sz w:val="24"/>
          <w:szCs w:val="24"/>
          <w:lang w:val="en-GB"/>
        </w:rPr>
        <w:t>18</w:t>
      </w:r>
      <w:r w:rsidRPr="00634580">
        <w:rPr>
          <w:rFonts w:ascii="Arial" w:hAnsi="Arial" w:cs="Arial"/>
          <w:sz w:val="24"/>
          <w:szCs w:val="24"/>
          <w:lang w:val="en-GB"/>
        </w:rPr>
        <w:t>, 37. https://doi.org/10.1186/s12961-020-0543-x</w:t>
      </w:r>
    </w:p>
    <w:p w14:paraId="216F0E50"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lastRenderedPageBreak/>
        <w:t xml:space="preserve">Nemeth, L. S., Jenkins, C., Jauch, E. C., Conway, S., Pearlman, A., Spruill, I. J., Brown, L. J., Linnen, J., Linnen, F., &amp; Andrews, J. O. (2016). A Community-Engaged Assessment of Barriers and Facilitators to Rapid Stroke Treatment. </w:t>
      </w:r>
      <w:r w:rsidRPr="00634580">
        <w:rPr>
          <w:rFonts w:ascii="Arial" w:hAnsi="Arial" w:cs="Arial"/>
          <w:i/>
          <w:iCs/>
          <w:sz w:val="24"/>
          <w:szCs w:val="24"/>
          <w:lang w:val="en-GB"/>
        </w:rPr>
        <w:t>Research in Nursing &amp; Health</w:t>
      </w:r>
      <w:r w:rsidRPr="00634580">
        <w:rPr>
          <w:rFonts w:ascii="Arial" w:hAnsi="Arial" w:cs="Arial"/>
          <w:sz w:val="24"/>
          <w:szCs w:val="24"/>
          <w:lang w:val="en-GB"/>
        </w:rPr>
        <w:t xml:space="preserve">, </w:t>
      </w:r>
      <w:r w:rsidRPr="00634580">
        <w:rPr>
          <w:rFonts w:ascii="Arial" w:hAnsi="Arial" w:cs="Arial"/>
          <w:i/>
          <w:iCs/>
          <w:sz w:val="24"/>
          <w:szCs w:val="24"/>
          <w:lang w:val="en-GB"/>
        </w:rPr>
        <w:t>39</w:t>
      </w:r>
      <w:r w:rsidRPr="00634580">
        <w:rPr>
          <w:rFonts w:ascii="Arial" w:hAnsi="Arial" w:cs="Arial"/>
          <w:sz w:val="24"/>
          <w:szCs w:val="24"/>
          <w:lang w:val="en-GB"/>
        </w:rPr>
        <w:t>(6), 438–448. https://doi.org/10.1002/nur.21749</w:t>
      </w:r>
    </w:p>
    <w:p w14:paraId="3C84E4BC"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Nhamo, L., &amp; Ndlela, B. (2021). Nexus planning as a pathway towards sustainable environmental and human health post Covid-19. </w:t>
      </w:r>
      <w:r w:rsidRPr="00634580">
        <w:rPr>
          <w:rFonts w:ascii="Arial" w:hAnsi="Arial" w:cs="Arial"/>
          <w:i/>
          <w:iCs/>
          <w:sz w:val="24"/>
          <w:szCs w:val="24"/>
          <w:lang w:val="en-GB"/>
        </w:rPr>
        <w:t>Environmental Research</w:t>
      </w:r>
      <w:r w:rsidRPr="00634580">
        <w:rPr>
          <w:rFonts w:ascii="Arial" w:hAnsi="Arial" w:cs="Arial"/>
          <w:sz w:val="24"/>
          <w:szCs w:val="24"/>
          <w:lang w:val="en-GB"/>
        </w:rPr>
        <w:t xml:space="preserve">, </w:t>
      </w:r>
      <w:r w:rsidRPr="00634580">
        <w:rPr>
          <w:rFonts w:ascii="Arial" w:hAnsi="Arial" w:cs="Arial"/>
          <w:i/>
          <w:iCs/>
          <w:sz w:val="24"/>
          <w:szCs w:val="24"/>
          <w:lang w:val="en-GB"/>
        </w:rPr>
        <w:t>192</w:t>
      </w:r>
      <w:r w:rsidRPr="00634580">
        <w:rPr>
          <w:rFonts w:ascii="Arial" w:hAnsi="Arial" w:cs="Arial"/>
          <w:sz w:val="24"/>
          <w:szCs w:val="24"/>
          <w:lang w:val="en-GB"/>
        </w:rPr>
        <w:t>, 110376. https://doi.org/10.1016/j.envres.2020.110376</w:t>
      </w:r>
    </w:p>
    <w:p w14:paraId="5147D9B0"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Norström, A. V., Cvitanovic, C., Löf, M. F., West, S., Wyborn, C., Balvanera, P., Bednarek, A. T., Bennett, E. M., Biggs, R., de Bremond, A., Campbell, B. M., Canadell, J. G., Carpenter, S. R., Folke, C., Fulton, E. A., Gaffney, O., Gelcich, S., Jouffray, J.-B., Leach, M., … Österblom, H. (2020). Principles for knowledge co-production in sustainability research. </w:t>
      </w:r>
      <w:r w:rsidRPr="00634580">
        <w:rPr>
          <w:rFonts w:ascii="Arial" w:hAnsi="Arial" w:cs="Arial"/>
          <w:i/>
          <w:iCs/>
          <w:sz w:val="24"/>
          <w:szCs w:val="24"/>
          <w:lang w:val="en-GB"/>
        </w:rPr>
        <w:t>Nature Sustainability</w:t>
      </w:r>
      <w:r w:rsidRPr="00634580">
        <w:rPr>
          <w:rFonts w:ascii="Arial" w:hAnsi="Arial" w:cs="Arial"/>
          <w:sz w:val="24"/>
          <w:szCs w:val="24"/>
          <w:lang w:val="en-GB"/>
        </w:rPr>
        <w:t xml:space="preserve">, </w:t>
      </w:r>
      <w:r w:rsidRPr="00634580">
        <w:rPr>
          <w:rFonts w:ascii="Arial" w:hAnsi="Arial" w:cs="Arial"/>
          <w:i/>
          <w:iCs/>
          <w:sz w:val="24"/>
          <w:szCs w:val="24"/>
          <w:lang w:val="en-GB"/>
        </w:rPr>
        <w:t>3</w:t>
      </w:r>
      <w:r w:rsidRPr="00634580">
        <w:rPr>
          <w:rFonts w:ascii="Arial" w:hAnsi="Arial" w:cs="Arial"/>
          <w:sz w:val="24"/>
          <w:szCs w:val="24"/>
          <w:lang w:val="en-GB"/>
        </w:rPr>
        <w:t>(3), Article 3. https://doi.org/10.1038/s41893-019-0448-2</w:t>
      </w:r>
    </w:p>
    <w:p w14:paraId="4C77032A"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Paul, E., Brown, G. W., &amp; Ridde, V. (2020). COVID-19: Time for paradigm shift in the nexus between local, national and global health. </w:t>
      </w:r>
      <w:r w:rsidRPr="00634580">
        <w:rPr>
          <w:rFonts w:ascii="Arial" w:hAnsi="Arial" w:cs="Arial"/>
          <w:i/>
          <w:iCs/>
          <w:sz w:val="24"/>
          <w:szCs w:val="24"/>
          <w:lang w:val="en-GB"/>
        </w:rPr>
        <w:t>BMJ Global Health</w:t>
      </w:r>
      <w:r w:rsidRPr="00634580">
        <w:rPr>
          <w:rFonts w:ascii="Arial" w:hAnsi="Arial" w:cs="Arial"/>
          <w:sz w:val="24"/>
          <w:szCs w:val="24"/>
          <w:lang w:val="en-GB"/>
        </w:rPr>
        <w:t xml:space="preserve">, </w:t>
      </w:r>
      <w:r w:rsidRPr="00634580">
        <w:rPr>
          <w:rFonts w:ascii="Arial" w:hAnsi="Arial" w:cs="Arial"/>
          <w:i/>
          <w:iCs/>
          <w:sz w:val="24"/>
          <w:szCs w:val="24"/>
          <w:lang w:val="en-GB"/>
        </w:rPr>
        <w:t>5</w:t>
      </w:r>
      <w:r w:rsidRPr="00634580">
        <w:rPr>
          <w:rFonts w:ascii="Arial" w:hAnsi="Arial" w:cs="Arial"/>
          <w:sz w:val="24"/>
          <w:szCs w:val="24"/>
          <w:lang w:val="en-GB"/>
        </w:rPr>
        <w:t>(4), e002622. https://doi.org/10.1136/bmjgh-2020-002622</w:t>
      </w:r>
    </w:p>
    <w:p w14:paraId="0CC12E04" w14:textId="77777777" w:rsidR="0093626A" w:rsidRPr="00634580" w:rsidRDefault="00000000" w:rsidP="00634580">
      <w:pPr>
        <w:pStyle w:val="Bibliografa1"/>
        <w:spacing w:line="360" w:lineRule="auto"/>
        <w:rPr>
          <w:rFonts w:ascii="Arial" w:hAnsi="Arial" w:cs="Arial"/>
          <w:sz w:val="24"/>
          <w:szCs w:val="24"/>
          <w:lang w:val="fr-FR"/>
        </w:rPr>
      </w:pPr>
      <w:r w:rsidRPr="00634580">
        <w:rPr>
          <w:rFonts w:ascii="Arial" w:hAnsi="Arial" w:cs="Arial"/>
          <w:sz w:val="24"/>
          <w:szCs w:val="24"/>
          <w:lang w:val="en-GB"/>
        </w:rPr>
        <w:t xml:space="preserve">Penn, C., &amp; Watermeyer, J. (2018). Verbal and Non-Verbal Dimensions of the Intercultural Health Setting. In C. Penn &amp; J. Watermeyer (Eds.), </w:t>
      </w:r>
      <w:r w:rsidRPr="00634580">
        <w:rPr>
          <w:rFonts w:ascii="Arial" w:hAnsi="Arial" w:cs="Arial"/>
          <w:i/>
          <w:iCs/>
          <w:sz w:val="24"/>
          <w:szCs w:val="24"/>
          <w:lang w:val="en-GB"/>
        </w:rPr>
        <w:t>Communicating Across Cultures and Languages in the Health Care Setting: Voices of Care</w:t>
      </w:r>
      <w:r w:rsidRPr="00634580">
        <w:rPr>
          <w:rFonts w:ascii="Arial" w:hAnsi="Arial" w:cs="Arial"/>
          <w:sz w:val="24"/>
          <w:szCs w:val="24"/>
          <w:lang w:val="en-GB"/>
        </w:rPr>
        <w:t xml:space="preserve"> (pp. 207–261). </w:t>
      </w:r>
      <w:r w:rsidRPr="00634580">
        <w:rPr>
          <w:rFonts w:ascii="Arial" w:hAnsi="Arial" w:cs="Arial"/>
          <w:sz w:val="24"/>
          <w:szCs w:val="24"/>
          <w:lang w:val="fr-FR"/>
        </w:rPr>
        <w:t>Palgrave Macmillan UK. https://doi.org/10.1057/978-1-137-58100-6_6</w:t>
      </w:r>
    </w:p>
    <w:p w14:paraId="6A0EF511"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fr-FR"/>
        </w:rPr>
        <w:t xml:space="preserve">Petersen, A., &amp; Lupton, D. (1996). </w:t>
      </w:r>
      <w:r w:rsidRPr="00634580">
        <w:rPr>
          <w:rFonts w:ascii="Arial" w:hAnsi="Arial" w:cs="Arial"/>
          <w:i/>
          <w:iCs/>
          <w:sz w:val="24"/>
          <w:szCs w:val="24"/>
          <w:lang w:val="en-GB"/>
        </w:rPr>
        <w:t>The new public health: Health and self in the age of risk</w:t>
      </w:r>
      <w:r w:rsidRPr="00634580">
        <w:rPr>
          <w:rFonts w:ascii="Arial" w:hAnsi="Arial" w:cs="Arial"/>
          <w:sz w:val="24"/>
          <w:szCs w:val="24"/>
          <w:lang w:val="en-GB"/>
        </w:rPr>
        <w:t>. Sage Publications, Inc.</w:t>
      </w:r>
    </w:p>
    <w:p w14:paraId="5ADC6E0F"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Pratt, B. (2021). Sharing power in global health research: An ethical toolkit for designing priority-setting processes that meaningfully include communities. </w:t>
      </w:r>
      <w:r w:rsidRPr="00634580">
        <w:rPr>
          <w:rFonts w:ascii="Arial" w:hAnsi="Arial" w:cs="Arial"/>
          <w:i/>
          <w:iCs/>
          <w:sz w:val="24"/>
          <w:szCs w:val="24"/>
          <w:lang w:val="en-GB"/>
        </w:rPr>
        <w:t>International Journal for Equity in Health</w:t>
      </w:r>
      <w:r w:rsidRPr="00634580">
        <w:rPr>
          <w:rFonts w:ascii="Arial" w:hAnsi="Arial" w:cs="Arial"/>
          <w:sz w:val="24"/>
          <w:szCs w:val="24"/>
          <w:lang w:val="en-GB"/>
        </w:rPr>
        <w:t xml:space="preserve">, </w:t>
      </w:r>
      <w:r w:rsidRPr="00634580">
        <w:rPr>
          <w:rFonts w:ascii="Arial" w:hAnsi="Arial" w:cs="Arial"/>
          <w:i/>
          <w:iCs/>
          <w:sz w:val="24"/>
          <w:szCs w:val="24"/>
          <w:lang w:val="en-GB"/>
        </w:rPr>
        <w:t>20</w:t>
      </w:r>
      <w:r w:rsidRPr="00634580">
        <w:rPr>
          <w:rFonts w:ascii="Arial" w:hAnsi="Arial" w:cs="Arial"/>
          <w:sz w:val="24"/>
          <w:szCs w:val="24"/>
          <w:lang w:val="en-GB"/>
        </w:rPr>
        <w:t>(1), 127. https://doi.org/10.1186/s12939-021-01453-y</w:t>
      </w:r>
    </w:p>
    <w:p w14:paraId="557709F8"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Pratt, B., Sheehan, M., Barsdorf, N., &amp; Hyder, A. A. (2018). Exploring the ethics of global health research priority-setting. </w:t>
      </w:r>
      <w:r w:rsidRPr="00634580">
        <w:rPr>
          <w:rFonts w:ascii="Arial" w:hAnsi="Arial" w:cs="Arial"/>
          <w:i/>
          <w:iCs/>
          <w:sz w:val="24"/>
          <w:szCs w:val="24"/>
          <w:lang w:val="en-GB"/>
        </w:rPr>
        <w:t>BMC Medical Ethics</w:t>
      </w:r>
      <w:r w:rsidRPr="00634580">
        <w:rPr>
          <w:rFonts w:ascii="Arial" w:hAnsi="Arial" w:cs="Arial"/>
          <w:sz w:val="24"/>
          <w:szCs w:val="24"/>
          <w:lang w:val="en-GB"/>
        </w:rPr>
        <w:t xml:space="preserve">, </w:t>
      </w:r>
      <w:r w:rsidRPr="00634580">
        <w:rPr>
          <w:rFonts w:ascii="Arial" w:hAnsi="Arial" w:cs="Arial"/>
          <w:i/>
          <w:iCs/>
          <w:sz w:val="24"/>
          <w:szCs w:val="24"/>
          <w:lang w:val="en-GB"/>
        </w:rPr>
        <w:t>19</w:t>
      </w:r>
      <w:r w:rsidRPr="00634580">
        <w:rPr>
          <w:rFonts w:ascii="Arial" w:hAnsi="Arial" w:cs="Arial"/>
          <w:sz w:val="24"/>
          <w:szCs w:val="24"/>
          <w:lang w:val="en-GB"/>
        </w:rPr>
        <w:t>(1), 94. https://doi.org/10.1186/s12910-018-0333-y</w:t>
      </w:r>
    </w:p>
    <w:p w14:paraId="52C644BC"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lastRenderedPageBreak/>
        <w:t xml:space="preserve">Pyrko, I., Dörfler, V., &amp; Eden, C. (2017). Thinking together: What makes Communities of Practice work? </w:t>
      </w:r>
      <w:r w:rsidRPr="00634580">
        <w:rPr>
          <w:rFonts w:ascii="Arial" w:hAnsi="Arial" w:cs="Arial"/>
          <w:i/>
          <w:iCs/>
          <w:sz w:val="24"/>
          <w:szCs w:val="24"/>
          <w:lang w:val="en-GB"/>
        </w:rPr>
        <w:t>Human Relations</w:t>
      </w:r>
      <w:r w:rsidRPr="00634580">
        <w:rPr>
          <w:rFonts w:ascii="Arial" w:hAnsi="Arial" w:cs="Arial"/>
          <w:sz w:val="24"/>
          <w:szCs w:val="24"/>
          <w:lang w:val="en-GB"/>
        </w:rPr>
        <w:t xml:space="preserve">, </w:t>
      </w:r>
      <w:r w:rsidRPr="00634580">
        <w:rPr>
          <w:rFonts w:ascii="Arial" w:hAnsi="Arial" w:cs="Arial"/>
          <w:i/>
          <w:iCs/>
          <w:sz w:val="24"/>
          <w:szCs w:val="24"/>
          <w:lang w:val="en-GB"/>
        </w:rPr>
        <w:t>70</w:t>
      </w:r>
      <w:r w:rsidRPr="00634580">
        <w:rPr>
          <w:rFonts w:ascii="Arial" w:hAnsi="Arial" w:cs="Arial"/>
          <w:sz w:val="24"/>
          <w:szCs w:val="24"/>
          <w:lang w:val="en-GB"/>
        </w:rPr>
        <w:t>(4), 389–409. https://doi.org/10.1177/0018726716661040</w:t>
      </w:r>
    </w:p>
    <w:p w14:paraId="1B47D1BE"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Quinn, A., &amp; Laws, M. (2020). Addressing Community Needs and Preparing for the Secondary Impacts of Covid-19. </w:t>
      </w:r>
      <w:r w:rsidRPr="00634580">
        <w:rPr>
          <w:rFonts w:ascii="Arial" w:hAnsi="Arial" w:cs="Arial"/>
          <w:i/>
          <w:iCs/>
          <w:sz w:val="24"/>
          <w:szCs w:val="24"/>
          <w:lang w:val="en-GB"/>
        </w:rPr>
        <w:t>Nejm Catalyst Innovations in Care Delivery</w:t>
      </w:r>
      <w:r w:rsidRPr="00634580">
        <w:rPr>
          <w:rFonts w:ascii="Arial" w:hAnsi="Arial" w:cs="Arial"/>
          <w:sz w:val="24"/>
          <w:szCs w:val="24"/>
          <w:lang w:val="en-GB"/>
        </w:rPr>
        <w:t>. https://doi.org/10.1056/CAT.20.0186</w:t>
      </w:r>
    </w:p>
    <w:p w14:paraId="2D4619A7"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Ranmuthugala, G., Cunningham, F. C., Plumb, J. J., Long, J., Georgiou, A., Westbrook, J. I., &amp; Braithwaite, J. (2011). A realist evaluation of the role of communities of practice in changing healthcare practice. </w:t>
      </w:r>
      <w:r w:rsidRPr="00634580">
        <w:rPr>
          <w:rFonts w:ascii="Arial" w:hAnsi="Arial" w:cs="Arial"/>
          <w:i/>
          <w:iCs/>
          <w:sz w:val="24"/>
          <w:szCs w:val="24"/>
          <w:lang w:val="en-GB"/>
        </w:rPr>
        <w:t>Implementation Science</w:t>
      </w:r>
      <w:r w:rsidRPr="00634580">
        <w:rPr>
          <w:rFonts w:ascii="Arial" w:hAnsi="Arial" w:cs="Arial"/>
          <w:sz w:val="24"/>
          <w:szCs w:val="24"/>
          <w:lang w:val="en-GB"/>
        </w:rPr>
        <w:t xml:space="preserve">, </w:t>
      </w:r>
      <w:r w:rsidRPr="00634580">
        <w:rPr>
          <w:rFonts w:ascii="Arial" w:hAnsi="Arial" w:cs="Arial"/>
          <w:i/>
          <w:iCs/>
          <w:sz w:val="24"/>
          <w:szCs w:val="24"/>
          <w:lang w:val="en-GB"/>
        </w:rPr>
        <w:t>6</w:t>
      </w:r>
      <w:r w:rsidRPr="00634580">
        <w:rPr>
          <w:rFonts w:ascii="Arial" w:hAnsi="Arial" w:cs="Arial"/>
          <w:sz w:val="24"/>
          <w:szCs w:val="24"/>
          <w:lang w:val="en-GB"/>
        </w:rPr>
        <w:t>(1), 49. https://doi.org/10.1186/1748-5908-6-49</w:t>
      </w:r>
    </w:p>
    <w:p w14:paraId="7552D4E9"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Rao, M., &amp; Pilot, E. (2014). The missing link – the role of primary care in global health. </w:t>
      </w:r>
      <w:r w:rsidRPr="00634580">
        <w:rPr>
          <w:rFonts w:ascii="Arial" w:hAnsi="Arial" w:cs="Arial"/>
          <w:i/>
          <w:iCs/>
          <w:sz w:val="24"/>
          <w:szCs w:val="24"/>
          <w:lang w:val="en-GB"/>
        </w:rPr>
        <w:t>Global Health Action</w:t>
      </w:r>
      <w:r w:rsidRPr="00634580">
        <w:rPr>
          <w:rFonts w:ascii="Arial" w:hAnsi="Arial" w:cs="Arial"/>
          <w:sz w:val="24"/>
          <w:szCs w:val="24"/>
          <w:lang w:val="en-GB"/>
        </w:rPr>
        <w:t xml:space="preserve">, </w:t>
      </w:r>
      <w:r w:rsidRPr="00634580">
        <w:rPr>
          <w:rFonts w:ascii="Arial" w:hAnsi="Arial" w:cs="Arial"/>
          <w:i/>
          <w:iCs/>
          <w:sz w:val="24"/>
          <w:szCs w:val="24"/>
          <w:lang w:val="en-GB"/>
        </w:rPr>
        <w:t>7</w:t>
      </w:r>
      <w:r w:rsidRPr="00634580">
        <w:rPr>
          <w:rFonts w:ascii="Arial" w:hAnsi="Arial" w:cs="Arial"/>
          <w:sz w:val="24"/>
          <w:szCs w:val="24"/>
          <w:lang w:val="en-GB"/>
        </w:rPr>
        <w:t>(s2), 23693. https://doi.org/10.3402/gha.v7.23693</w:t>
      </w:r>
    </w:p>
    <w:p w14:paraId="05BEE629"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Reason, P., &amp; Bradbury, H. (2001). </w:t>
      </w:r>
      <w:r w:rsidRPr="00634580">
        <w:rPr>
          <w:rFonts w:ascii="Arial" w:hAnsi="Arial" w:cs="Arial"/>
          <w:i/>
          <w:iCs/>
          <w:sz w:val="24"/>
          <w:szCs w:val="24"/>
          <w:lang w:val="en-GB"/>
        </w:rPr>
        <w:t>Handbook of Action Research: Participative Inquiry and Practice</w:t>
      </w:r>
      <w:r w:rsidRPr="00634580">
        <w:rPr>
          <w:rFonts w:ascii="Arial" w:hAnsi="Arial" w:cs="Arial"/>
          <w:sz w:val="24"/>
          <w:szCs w:val="24"/>
          <w:lang w:val="en-GB"/>
        </w:rPr>
        <w:t>. https://www.amazon.ca/Handbook-Action-Research-Participative-Practice/dp/0761966455</w:t>
      </w:r>
    </w:p>
    <w:p w14:paraId="07905B96" w14:textId="77777777" w:rsidR="0093626A" w:rsidRPr="00634580" w:rsidRDefault="00000000" w:rsidP="00634580">
      <w:pPr>
        <w:pStyle w:val="Bibliografa1"/>
        <w:spacing w:line="360" w:lineRule="auto"/>
        <w:rPr>
          <w:rFonts w:ascii="Arial" w:hAnsi="Arial" w:cs="Arial"/>
          <w:sz w:val="24"/>
          <w:szCs w:val="24"/>
          <w:lang w:val="fr-FR"/>
        </w:rPr>
      </w:pPr>
      <w:r w:rsidRPr="00634580">
        <w:rPr>
          <w:rFonts w:ascii="Arial" w:hAnsi="Arial" w:cs="Arial"/>
          <w:sz w:val="24"/>
          <w:szCs w:val="24"/>
          <w:lang w:val="en-GB"/>
        </w:rPr>
        <w:t xml:space="preserve">Reason, P., &amp; Bradbury, H. (2008). </w:t>
      </w:r>
      <w:r w:rsidRPr="00634580">
        <w:rPr>
          <w:rFonts w:ascii="Arial" w:hAnsi="Arial" w:cs="Arial"/>
          <w:i/>
          <w:iCs/>
          <w:sz w:val="24"/>
          <w:szCs w:val="24"/>
          <w:lang w:val="en-GB"/>
        </w:rPr>
        <w:t>The SAGE handbook of action research: Participative inquiry and practice</w:t>
      </w:r>
      <w:r w:rsidRPr="00634580">
        <w:rPr>
          <w:rFonts w:ascii="Arial" w:hAnsi="Arial" w:cs="Arial"/>
          <w:sz w:val="24"/>
          <w:szCs w:val="24"/>
          <w:lang w:val="en-GB"/>
        </w:rPr>
        <w:t xml:space="preserve">. </w:t>
      </w:r>
      <w:r w:rsidRPr="00634580">
        <w:rPr>
          <w:rFonts w:ascii="Arial" w:hAnsi="Arial" w:cs="Arial"/>
          <w:sz w:val="24"/>
          <w:szCs w:val="24"/>
          <w:lang w:val="fr-FR"/>
        </w:rPr>
        <w:t>SAGE.</w:t>
      </w:r>
    </w:p>
    <w:p w14:paraId="48162ECE" w14:textId="77777777" w:rsidR="0093626A" w:rsidRPr="00634580" w:rsidRDefault="00000000" w:rsidP="00634580">
      <w:pPr>
        <w:pStyle w:val="Bibliografa1"/>
        <w:spacing w:line="360" w:lineRule="auto"/>
        <w:rPr>
          <w:rFonts w:ascii="Arial" w:hAnsi="Arial" w:cs="Arial"/>
          <w:sz w:val="24"/>
          <w:szCs w:val="24"/>
          <w:lang w:val="fr-FR"/>
        </w:rPr>
      </w:pPr>
      <w:r w:rsidRPr="00634580">
        <w:rPr>
          <w:rFonts w:ascii="Arial" w:hAnsi="Arial" w:cs="Arial"/>
          <w:sz w:val="24"/>
          <w:szCs w:val="24"/>
          <w:lang w:val="fr-FR"/>
        </w:rPr>
        <w:t xml:space="preserve">Ridde, V., &amp; Capelle, F. (2011). La recherche en santé mondiale et les défis des partenariats Nord-Sud. </w:t>
      </w:r>
      <w:r w:rsidRPr="00634580">
        <w:rPr>
          <w:rFonts w:ascii="Arial" w:hAnsi="Arial" w:cs="Arial"/>
          <w:i/>
          <w:iCs/>
          <w:sz w:val="24"/>
          <w:szCs w:val="24"/>
          <w:lang w:val="fr-FR"/>
        </w:rPr>
        <w:t>Canadian Journal of Public Health / Revue Canadienne de Sante’e Publique</w:t>
      </w:r>
      <w:r w:rsidRPr="00634580">
        <w:rPr>
          <w:rFonts w:ascii="Arial" w:hAnsi="Arial" w:cs="Arial"/>
          <w:sz w:val="24"/>
          <w:szCs w:val="24"/>
          <w:lang w:val="fr-FR"/>
        </w:rPr>
        <w:t xml:space="preserve">, </w:t>
      </w:r>
      <w:r w:rsidRPr="00634580">
        <w:rPr>
          <w:rFonts w:ascii="Arial" w:hAnsi="Arial" w:cs="Arial"/>
          <w:i/>
          <w:iCs/>
          <w:sz w:val="24"/>
          <w:szCs w:val="24"/>
          <w:lang w:val="fr-FR"/>
        </w:rPr>
        <w:t>102</w:t>
      </w:r>
      <w:r w:rsidRPr="00634580">
        <w:rPr>
          <w:rFonts w:ascii="Arial" w:hAnsi="Arial" w:cs="Arial"/>
          <w:sz w:val="24"/>
          <w:szCs w:val="24"/>
          <w:lang w:val="fr-FR"/>
        </w:rPr>
        <w:t>(2), 152–156.</w:t>
      </w:r>
    </w:p>
    <w:p w14:paraId="160E8036"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fr-FR"/>
        </w:rPr>
        <w:t xml:space="preserve">Roebbel, N., de Sa, T. H., Neira, M., &amp; Krug, E. (2022). </w:t>
      </w:r>
      <w:r w:rsidRPr="00634580">
        <w:rPr>
          <w:rFonts w:ascii="Arial" w:hAnsi="Arial" w:cs="Arial"/>
          <w:sz w:val="24"/>
          <w:szCs w:val="24"/>
          <w:lang w:val="en-GB"/>
        </w:rPr>
        <w:t xml:space="preserve">Global research priorities for urban health. </w:t>
      </w:r>
      <w:r w:rsidRPr="00634580">
        <w:rPr>
          <w:rFonts w:ascii="Arial" w:hAnsi="Arial" w:cs="Arial"/>
          <w:i/>
          <w:iCs/>
          <w:sz w:val="24"/>
          <w:szCs w:val="24"/>
          <w:lang w:val="en-GB"/>
        </w:rPr>
        <w:t>Bulletin of the World Health Organization</w:t>
      </w:r>
      <w:r w:rsidRPr="00634580">
        <w:rPr>
          <w:rFonts w:ascii="Arial" w:hAnsi="Arial" w:cs="Arial"/>
          <w:sz w:val="24"/>
          <w:szCs w:val="24"/>
          <w:lang w:val="en-GB"/>
        </w:rPr>
        <w:t xml:space="preserve">, </w:t>
      </w:r>
      <w:r w:rsidRPr="00634580">
        <w:rPr>
          <w:rFonts w:ascii="Arial" w:hAnsi="Arial" w:cs="Arial"/>
          <w:i/>
          <w:iCs/>
          <w:sz w:val="24"/>
          <w:szCs w:val="24"/>
          <w:lang w:val="en-GB"/>
        </w:rPr>
        <w:t>100</w:t>
      </w:r>
      <w:r w:rsidRPr="00634580">
        <w:rPr>
          <w:rFonts w:ascii="Arial" w:hAnsi="Arial" w:cs="Arial"/>
          <w:sz w:val="24"/>
          <w:szCs w:val="24"/>
          <w:lang w:val="en-GB"/>
        </w:rPr>
        <w:t>(12), 750-750A. https://doi.org/10.2471/BLT.22.289135</w:t>
      </w:r>
    </w:p>
    <w:p w14:paraId="45595642"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Rölfer, L., Elias Ilosvay, X. E., Ferse, S. C. A., Jung, J., Karcher, D. B., Kriegl, M., Nijamdeen, T. M., Riechers, M., &amp; Walker, E. Z. (2022). Disentangling Obstacles to Knowledge Co-Production for Early-Career Researchers in the Marine Sciences. </w:t>
      </w:r>
      <w:r w:rsidRPr="00634580">
        <w:rPr>
          <w:rFonts w:ascii="Arial" w:hAnsi="Arial" w:cs="Arial"/>
          <w:i/>
          <w:iCs/>
          <w:sz w:val="24"/>
          <w:szCs w:val="24"/>
          <w:lang w:val="en-GB"/>
        </w:rPr>
        <w:t>Frontiers in Marine Science</w:t>
      </w:r>
      <w:r w:rsidRPr="00634580">
        <w:rPr>
          <w:rFonts w:ascii="Arial" w:hAnsi="Arial" w:cs="Arial"/>
          <w:sz w:val="24"/>
          <w:szCs w:val="24"/>
          <w:lang w:val="en-GB"/>
        </w:rPr>
        <w:t xml:space="preserve">, </w:t>
      </w:r>
      <w:r w:rsidRPr="00634580">
        <w:rPr>
          <w:rFonts w:ascii="Arial" w:hAnsi="Arial" w:cs="Arial"/>
          <w:i/>
          <w:iCs/>
          <w:sz w:val="24"/>
          <w:szCs w:val="24"/>
          <w:lang w:val="en-GB"/>
        </w:rPr>
        <w:t>9</w:t>
      </w:r>
      <w:r w:rsidRPr="00634580">
        <w:rPr>
          <w:rFonts w:ascii="Arial" w:hAnsi="Arial" w:cs="Arial"/>
          <w:sz w:val="24"/>
          <w:szCs w:val="24"/>
          <w:lang w:val="en-GB"/>
        </w:rPr>
        <w:t>. https://www.frontiersin.org/articles/10.3389/fmars.2022.893489</w:t>
      </w:r>
    </w:p>
    <w:p w14:paraId="0F4EF620"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Sabah, Y., &amp; Cook-Craig, P. (2010). Learning Teams and Virtual Communities of Practice: Managing Evidence and Expertise Beyond the Stable State. </w:t>
      </w:r>
      <w:r w:rsidRPr="00634580">
        <w:rPr>
          <w:rFonts w:ascii="Arial" w:hAnsi="Arial" w:cs="Arial"/>
          <w:i/>
          <w:iCs/>
          <w:sz w:val="24"/>
          <w:szCs w:val="24"/>
          <w:lang w:val="en-GB"/>
        </w:rPr>
        <w:lastRenderedPageBreak/>
        <w:t>Research on Social Work Practice</w:t>
      </w:r>
      <w:r w:rsidRPr="00634580">
        <w:rPr>
          <w:rFonts w:ascii="Arial" w:hAnsi="Arial" w:cs="Arial"/>
          <w:sz w:val="24"/>
          <w:szCs w:val="24"/>
          <w:lang w:val="en-GB"/>
        </w:rPr>
        <w:t xml:space="preserve">, </w:t>
      </w:r>
      <w:r w:rsidRPr="00634580">
        <w:rPr>
          <w:rFonts w:ascii="Arial" w:hAnsi="Arial" w:cs="Arial"/>
          <w:i/>
          <w:iCs/>
          <w:sz w:val="24"/>
          <w:szCs w:val="24"/>
          <w:lang w:val="en-GB"/>
        </w:rPr>
        <w:t>20</w:t>
      </w:r>
      <w:r w:rsidRPr="00634580">
        <w:rPr>
          <w:rFonts w:ascii="Arial" w:hAnsi="Arial" w:cs="Arial"/>
          <w:sz w:val="24"/>
          <w:szCs w:val="24"/>
          <w:lang w:val="en-GB"/>
        </w:rPr>
        <w:t>(4), 435–446. https://doi.org/10.1177/1049731509339031</w:t>
      </w:r>
    </w:p>
    <w:p w14:paraId="6344DC6D"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Sarriot, E., &amp; Kouletio, M. (2015). Community Health Systems as Complex Adaptive Systems: Ontology and Praxis Lessons from an Urban Health Experience with Demonstrated Sustainability. </w:t>
      </w:r>
      <w:r w:rsidRPr="00634580">
        <w:rPr>
          <w:rFonts w:ascii="Arial" w:hAnsi="Arial" w:cs="Arial"/>
          <w:i/>
          <w:iCs/>
          <w:sz w:val="24"/>
          <w:szCs w:val="24"/>
          <w:lang w:val="en-GB"/>
        </w:rPr>
        <w:t>Systemic Practice and Action Research</w:t>
      </w:r>
      <w:r w:rsidRPr="00634580">
        <w:rPr>
          <w:rFonts w:ascii="Arial" w:hAnsi="Arial" w:cs="Arial"/>
          <w:sz w:val="24"/>
          <w:szCs w:val="24"/>
          <w:lang w:val="en-GB"/>
        </w:rPr>
        <w:t xml:space="preserve">, </w:t>
      </w:r>
      <w:r w:rsidRPr="00634580">
        <w:rPr>
          <w:rFonts w:ascii="Arial" w:hAnsi="Arial" w:cs="Arial"/>
          <w:i/>
          <w:iCs/>
          <w:sz w:val="24"/>
          <w:szCs w:val="24"/>
          <w:lang w:val="en-GB"/>
        </w:rPr>
        <w:t>28</w:t>
      </w:r>
      <w:r w:rsidRPr="00634580">
        <w:rPr>
          <w:rFonts w:ascii="Arial" w:hAnsi="Arial" w:cs="Arial"/>
          <w:sz w:val="24"/>
          <w:szCs w:val="24"/>
          <w:lang w:val="en-GB"/>
        </w:rPr>
        <w:t>(3), 255–272. https://doi.org/10.1007/s11213-014-9329-9</w:t>
      </w:r>
    </w:p>
    <w:p w14:paraId="63C92147"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US"/>
        </w:rPr>
        <w:t xml:space="preserve">Schrecker, T., Labonté, R., &amp; Vogli, R. D. (2008). </w:t>
      </w:r>
      <w:r w:rsidRPr="00634580">
        <w:rPr>
          <w:rFonts w:ascii="Arial" w:hAnsi="Arial" w:cs="Arial"/>
          <w:sz w:val="24"/>
          <w:szCs w:val="24"/>
          <w:lang w:val="en-GB"/>
        </w:rPr>
        <w:t xml:space="preserve">Globalisation and health: The need for a global vision. </w:t>
      </w:r>
      <w:r w:rsidRPr="00634580">
        <w:rPr>
          <w:rFonts w:ascii="Arial" w:hAnsi="Arial" w:cs="Arial"/>
          <w:i/>
          <w:iCs/>
          <w:sz w:val="24"/>
          <w:szCs w:val="24"/>
          <w:lang w:val="en-GB"/>
        </w:rPr>
        <w:t>The Lancet</w:t>
      </w:r>
      <w:r w:rsidRPr="00634580">
        <w:rPr>
          <w:rFonts w:ascii="Arial" w:hAnsi="Arial" w:cs="Arial"/>
          <w:sz w:val="24"/>
          <w:szCs w:val="24"/>
          <w:lang w:val="en-GB"/>
        </w:rPr>
        <w:t xml:space="preserve">, </w:t>
      </w:r>
      <w:r w:rsidRPr="00634580">
        <w:rPr>
          <w:rFonts w:ascii="Arial" w:hAnsi="Arial" w:cs="Arial"/>
          <w:i/>
          <w:iCs/>
          <w:sz w:val="24"/>
          <w:szCs w:val="24"/>
          <w:lang w:val="en-GB"/>
        </w:rPr>
        <w:t>372</w:t>
      </w:r>
      <w:r w:rsidRPr="00634580">
        <w:rPr>
          <w:rFonts w:ascii="Arial" w:hAnsi="Arial" w:cs="Arial"/>
          <w:sz w:val="24"/>
          <w:szCs w:val="24"/>
          <w:lang w:val="en-GB"/>
        </w:rPr>
        <w:t>(9650), 1670–1676. https://doi.org/10.1016/S0140-6736(08)61691-8</w:t>
      </w:r>
    </w:p>
    <w:p w14:paraId="360E9F46"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Seidel, V. P., Langner, B., &amp; Sims, J. (2017). Dominant communities and dominant designs: Community-based innovation in the context of the technology life cycle. </w:t>
      </w:r>
      <w:r w:rsidRPr="00634580">
        <w:rPr>
          <w:rFonts w:ascii="Arial" w:hAnsi="Arial" w:cs="Arial"/>
          <w:i/>
          <w:iCs/>
          <w:sz w:val="24"/>
          <w:szCs w:val="24"/>
          <w:lang w:val="en-GB"/>
        </w:rPr>
        <w:t>Strategic Organization</w:t>
      </w:r>
      <w:r w:rsidRPr="00634580">
        <w:rPr>
          <w:rFonts w:ascii="Arial" w:hAnsi="Arial" w:cs="Arial"/>
          <w:sz w:val="24"/>
          <w:szCs w:val="24"/>
          <w:lang w:val="en-GB"/>
        </w:rPr>
        <w:t xml:space="preserve">, </w:t>
      </w:r>
      <w:r w:rsidRPr="00634580">
        <w:rPr>
          <w:rFonts w:ascii="Arial" w:hAnsi="Arial" w:cs="Arial"/>
          <w:i/>
          <w:iCs/>
          <w:sz w:val="24"/>
          <w:szCs w:val="24"/>
          <w:lang w:val="en-GB"/>
        </w:rPr>
        <w:t>15</w:t>
      </w:r>
      <w:r w:rsidRPr="00634580">
        <w:rPr>
          <w:rFonts w:ascii="Arial" w:hAnsi="Arial" w:cs="Arial"/>
          <w:sz w:val="24"/>
          <w:szCs w:val="24"/>
          <w:lang w:val="en-GB"/>
        </w:rPr>
        <w:t>(2), 220–241. https://doi.org/10.1177/1476127016653726</w:t>
      </w:r>
    </w:p>
    <w:p w14:paraId="6A010B48"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Sentell, T., Vamos, S., &amp; Okan, O. (2020). Interdisciplinary Perspectives on Health Literacy Research Around the World: More Important Than Ever in a Time of COVID-19. </w:t>
      </w:r>
      <w:r w:rsidRPr="00634580">
        <w:rPr>
          <w:rFonts w:ascii="Arial" w:hAnsi="Arial" w:cs="Arial"/>
          <w:i/>
          <w:iCs/>
          <w:sz w:val="24"/>
          <w:szCs w:val="24"/>
          <w:lang w:val="en-GB"/>
        </w:rPr>
        <w:t>International Journal of Environmental Research and Public Health</w:t>
      </w:r>
      <w:r w:rsidRPr="00634580">
        <w:rPr>
          <w:rFonts w:ascii="Arial" w:hAnsi="Arial" w:cs="Arial"/>
          <w:sz w:val="24"/>
          <w:szCs w:val="24"/>
          <w:lang w:val="en-GB"/>
        </w:rPr>
        <w:t xml:space="preserve">, </w:t>
      </w:r>
      <w:r w:rsidRPr="00634580">
        <w:rPr>
          <w:rFonts w:ascii="Arial" w:hAnsi="Arial" w:cs="Arial"/>
          <w:i/>
          <w:iCs/>
          <w:sz w:val="24"/>
          <w:szCs w:val="24"/>
          <w:lang w:val="en-GB"/>
        </w:rPr>
        <w:t>17</w:t>
      </w:r>
      <w:r w:rsidRPr="00634580">
        <w:rPr>
          <w:rFonts w:ascii="Arial" w:hAnsi="Arial" w:cs="Arial"/>
          <w:sz w:val="24"/>
          <w:szCs w:val="24"/>
          <w:lang w:val="en-GB"/>
        </w:rPr>
        <w:t>(9), Article 9. https://doi.org/10.3390/ijerph17093010</w:t>
      </w:r>
    </w:p>
    <w:p w14:paraId="451AB49A"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Shiffman, J., Schmitz, H. P., Berlan, D., Smith, S. L., Quissell, K., Gneiting, U., &amp; Pelletier, D. (2016). The emergence and effectiveness of global health networks: Findings and future research. </w:t>
      </w:r>
      <w:r w:rsidRPr="00634580">
        <w:rPr>
          <w:rFonts w:ascii="Arial" w:hAnsi="Arial" w:cs="Arial"/>
          <w:i/>
          <w:iCs/>
          <w:sz w:val="24"/>
          <w:szCs w:val="24"/>
          <w:lang w:val="en-GB"/>
        </w:rPr>
        <w:t>Health Policy and Planning</w:t>
      </w:r>
      <w:r w:rsidRPr="00634580">
        <w:rPr>
          <w:rFonts w:ascii="Arial" w:hAnsi="Arial" w:cs="Arial"/>
          <w:sz w:val="24"/>
          <w:szCs w:val="24"/>
          <w:lang w:val="en-GB"/>
        </w:rPr>
        <w:t xml:space="preserve">, </w:t>
      </w:r>
      <w:r w:rsidRPr="00634580">
        <w:rPr>
          <w:rFonts w:ascii="Arial" w:hAnsi="Arial" w:cs="Arial"/>
          <w:i/>
          <w:iCs/>
          <w:sz w:val="24"/>
          <w:szCs w:val="24"/>
          <w:lang w:val="en-GB"/>
        </w:rPr>
        <w:t>31 Suppl 1</w:t>
      </w:r>
      <w:r w:rsidRPr="00634580">
        <w:rPr>
          <w:rFonts w:ascii="Arial" w:hAnsi="Arial" w:cs="Arial"/>
          <w:sz w:val="24"/>
          <w:szCs w:val="24"/>
          <w:lang w:val="en-GB"/>
        </w:rPr>
        <w:t>, i110-123. https://doi.org/10.1093/heapol/czw012</w:t>
      </w:r>
    </w:p>
    <w:p w14:paraId="2C8F63EB" w14:textId="77777777" w:rsidR="0093626A" w:rsidRPr="00634580" w:rsidRDefault="00000000" w:rsidP="00634580">
      <w:pPr>
        <w:pStyle w:val="Bibliografa1"/>
        <w:spacing w:line="360" w:lineRule="auto"/>
        <w:rPr>
          <w:rFonts w:ascii="Arial" w:hAnsi="Arial" w:cs="Arial"/>
          <w:sz w:val="24"/>
          <w:szCs w:val="24"/>
          <w:lang w:val="en-US"/>
        </w:rPr>
      </w:pPr>
      <w:r w:rsidRPr="00634580">
        <w:rPr>
          <w:rFonts w:ascii="Arial" w:hAnsi="Arial" w:cs="Arial"/>
          <w:sz w:val="24"/>
          <w:szCs w:val="24"/>
          <w:lang w:val="en-GB"/>
        </w:rPr>
        <w:t xml:space="preserve">Singer, P. A., Taylor, A. D., Daar, A. S., Upshur, R. E. G., Singh, J. A., &amp; Lavery, J. V. (2007). Grand Challenges in Global Health: The Ethical, Social and Cultural Program. </w:t>
      </w:r>
      <w:r w:rsidRPr="00634580">
        <w:rPr>
          <w:rFonts w:ascii="Arial" w:hAnsi="Arial" w:cs="Arial"/>
          <w:i/>
          <w:iCs/>
          <w:sz w:val="24"/>
          <w:szCs w:val="24"/>
          <w:lang w:val="en-US"/>
        </w:rPr>
        <w:t>PLOS Medicine</w:t>
      </w:r>
      <w:r w:rsidRPr="00634580">
        <w:rPr>
          <w:rFonts w:ascii="Arial" w:hAnsi="Arial" w:cs="Arial"/>
          <w:sz w:val="24"/>
          <w:szCs w:val="24"/>
          <w:lang w:val="en-US"/>
        </w:rPr>
        <w:t xml:space="preserve">, </w:t>
      </w:r>
      <w:r w:rsidRPr="00634580">
        <w:rPr>
          <w:rFonts w:ascii="Arial" w:hAnsi="Arial" w:cs="Arial"/>
          <w:i/>
          <w:iCs/>
          <w:sz w:val="24"/>
          <w:szCs w:val="24"/>
          <w:lang w:val="en-US"/>
        </w:rPr>
        <w:t>4</w:t>
      </w:r>
      <w:r w:rsidRPr="00634580">
        <w:rPr>
          <w:rFonts w:ascii="Arial" w:hAnsi="Arial" w:cs="Arial"/>
          <w:sz w:val="24"/>
          <w:szCs w:val="24"/>
          <w:lang w:val="en-US"/>
        </w:rPr>
        <w:t>(9), e265. https://doi.org/10.1371/journal.pmed.0040265</w:t>
      </w:r>
    </w:p>
    <w:p w14:paraId="13F8FE66"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US"/>
        </w:rPr>
        <w:t xml:space="preserve">Springett, J., &amp; Wallerstein, N. (2008). </w:t>
      </w:r>
      <w:r w:rsidRPr="00634580">
        <w:rPr>
          <w:rFonts w:ascii="Arial" w:hAnsi="Arial" w:cs="Arial"/>
          <w:sz w:val="24"/>
          <w:szCs w:val="24"/>
          <w:lang w:val="en-GB"/>
        </w:rPr>
        <w:t xml:space="preserve">Issues in participatory evaluation. </w:t>
      </w:r>
      <w:r w:rsidRPr="00634580">
        <w:rPr>
          <w:rFonts w:ascii="Arial" w:hAnsi="Arial" w:cs="Arial"/>
          <w:i/>
          <w:iCs/>
          <w:sz w:val="24"/>
          <w:szCs w:val="24"/>
          <w:lang w:val="en-GB"/>
        </w:rPr>
        <w:t>Community-Based Participatory Research for Health: From Process to Outcomes</w:t>
      </w:r>
      <w:r w:rsidRPr="00634580">
        <w:rPr>
          <w:rFonts w:ascii="Arial" w:hAnsi="Arial" w:cs="Arial"/>
          <w:sz w:val="24"/>
          <w:szCs w:val="24"/>
          <w:lang w:val="en-GB"/>
        </w:rPr>
        <w:t>, 199–220.</w:t>
      </w:r>
    </w:p>
    <w:p w14:paraId="5244423B"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Stewart, E. (2016). </w:t>
      </w:r>
      <w:r w:rsidRPr="00634580">
        <w:rPr>
          <w:rFonts w:ascii="Arial" w:hAnsi="Arial" w:cs="Arial"/>
          <w:i/>
          <w:iCs/>
          <w:sz w:val="24"/>
          <w:szCs w:val="24"/>
          <w:lang w:val="en-GB"/>
        </w:rPr>
        <w:t>Publics and Their Health Systems: Rethinking Participation</w:t>
      </w:r>
      <w:r w:rsidRPr="00634580">
        <w:rPr>
          <w:rFonts w:ascii="Arial" w:hAnsi="Arial" w:cs="Arial"/>
          <w:sz w:val="24"/>
          <w:szCs w:val="24"/>
          <w:lang w:val="en-GB"/>
        </w:rPr>
        <w:t>. Springer.</w:t>
      </w:r>
    </w:p>
    <w:p w14:paraId="1FADAD99"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lastRenderedPageBreak/>
        <w:t xml:space="preserve">Struminger, B., Arora, S., Zalud-Cerrato, S., Lowrance, D., &amp; Ellerbrock, T. (2017). Building virtual communities of practice for health. </w:t>
      </w:r>
      <w:r w:rsidRPr="00634580">
        <w:rPr>
          <w:rFonts w:ascii="Arial" w:hAnsi="Arial" w:cs="Arial"/>
          <w:i/>
          <w:iCs/>
          <w:sz w:val="24"/>
          <w:szCs w:val="24"/>
          <w:lang w:val="en-GB"/>
        </w:rPr>
        <w:t>The Lancet</w:t>
      </w:r>
      <w:r w:rsidRPr="00634580">
        <w:rPr>
          <w:rFonts w:ascii="Arial" w:hAnsi="Arial" w:cs="Arial"/>
          <w:sz w:val="24"/>
          <w:szCs w:val="24"/>
          <w:lang w:val="en-GB"/>
        </w:rPr>
        <w:t xml:space="preserve">, </w:t>
      </w:r>
      <w:r w:rsidRPr="00634580">
        <w:rPr>
          <w:rFonts w:ascii="Arial" w:hAnsi="Arial" w:cs="Arial"/>
          <w:i/>
          <w:iCs/>
          <w:sz w:val="24"/>
          <w:szCs w:val="24"/>
          <w:lang w:val="en-GB"/>
        </w:rPr>
        <w:t>390</w:t>
      </w:r>
      <w:r w:rsidRPr="00634580">
        <w:rPr>
          <w:rFonts w:ascii="Arial" w:hAnsi="Arial" w:cs="Arial"/>
          <w:sz w:val="24"/>
          <w:szCs w:val="24"/>
          <w:lang w:val="en-GB"/>
        </w:rPr>
        <w:t>(10095), 632–634. https://doi.org/10.1016/S0140-6736(17)31666-5</w:t>
      </w:r>
    </w:p>
    <w:p w14:paraId="64E98A17" w14:textId="77777777" w:rsidR="0093626A" w:rsidRPr="00634580" w:rsidRDefault="00000000" w:rsidP="00634580">
      <w:pPr>
        <w:pStyle w:val="Bibliografa1"/>
        <w:spacing w:line="360" w:lineRule="auto"/>
        <w:rPr>
          <w:rFonts w:ascii="Arial" w:hAnsi="Arial" w:cs="Arial"/>
          <w:sz w:val="24"/>
          <w:szCs w:val="24"/>
        </w:rPr>
      </w:pPr>
      <w:r w:rsidRPr="00634580">
        <w:rPr>
          <w:rFonts w:ascii="Arial" w:hAnsi="Arial" w:cs="Arial"/>
          <w:sz w:val="24"/>
          <w:szCs w:val="24"/>
        </w:rPr>
        <w:t xml:space="preserve">Suarez-Herrera, J. C., &amp; Blain, M.-J. (2012). </w:t>
      </w:r>
      <w:r w:rsidRPr="00634580">
        <w:rPr>
          <w:rFonts w:ascii="Arial" w:hAnsi="Arial" w:cs="Arial"/>
          <w:i/>
          <w:iCs/>
          <w:sz w:val="24"/>
          <w:szCs w:val="24"/>
          <w:lang w:val="fr-FR"/>
        </w:rPr>
        <w:t>La recherche en santé mondiale: Perspectives socio-anthropologiques</w:t>
      </w:r>
      <w:r w:rsidRPr="00634580">
        <w:rPr>
          <w:rFonts w:ascii="Arial" w:hAnsi="Arial" w:cs="Arial"/>
          <w:sz w:val="24"/>
          <w:szCs w:val="24"/>
          <w:lang w:val="fr-FR"/>
        </w:rPr>
        <w:t xml:space="preserve">. </w:t>
      </w:r>
      <w:r w:rsidRPr="00634580">
        <w:rPr>
          <w:rFonts w:ascii="Arial" w:hAnsi="Arial" w:cs="Arial"/>
          <w:sz w:val="24"/>
          <w:szCs w:val="24"/>
        </w:rPr>
        <w:t>Cahiers scientifiques de l’ACFAS.</w:t>
      </w:r>
    </w:p>
    <w:p w14:paraId="6E638771" w14:textId="77777777" w:rsidR="0093626A" w:rsidRPr="00634580" w:rsidRDefault="00000000" w:rsidP="00634580">
      <w:pPr>
        <w:pStyle w:val="Bibliografa1"/>
        <w:spacing w:line="360" w:lineRule="auto"/>
        <w:rPr>
          <w:rFonts w:ascii="Arial" w:hAnsi="Arial" w:cs="Arial"/>
          <w:sz w:val="24"/>
          <w:szCs w:val="24"/>
        </w:rPr>
      </w:pPr>
      <w:r w:rsidRPr="00634580">
        <w:rPr>
          <w:rFonts w:ascii="Arial" w:hAnsi="Arial" w:cs="Arial"/>
          <w:sz w:val="24"/>
          <w:szCs w:val="24"/>
        </w:rPr>
        <w:t xml:space="preserve">Suarez-Herrera, J. C., Marques da Cruz, M., &amp; Hartz, Z. (2021). Alianzas estratégicas en Salud Global: Perspectivas innovadoras para una Epidemiología del Desarrollo Sostenible. In </w:t>
      </w:r>
      <w:r w:rsidRPr="00634580">
        <w:rPr>
          <w:rFonts w:ascii="Arial" w:hAnsi="Arial" w:cs="Arial"/>
          <w:i/>
          <w:iCs/>
          <w:sz w:val="24"/>
          <w:szCs w:val="24"/>
        </w:rPr>
        <w:t>Epidemiología del desarrollo sostenible</w:t>
      </w:r>
      <w:r w:rsidRPr="00634580">
        <w:rPr>
          <w:rFonts w:ascii="Arial" w:hAnsi="Arial" w:cs="Arial"/>
          <w:sz w:val="24"/>
          <w:szCs w:val="24"/>
        </w:rPr>
        <w:t xml:space="preserve"> (pp. 179–214). Creative Commons de Acceso Abierto.</w:t>
      </w:r>
    </w:p>
    <w:p w14:paraId="7B4FFA40"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Suarez-Herrera, J. C., Springett, J., &amp; Kagan, C. (2009). Critical Connections between Participatory Evaluation, Organizational Learning and Intentional Change in Pluralistic Organizations. </w:t>
      </w:r>
      <w:r w:rsidRPr="00634580">
        <w:rPr>
          <w:rFonts w:ascii="Arial" w:hAnsi="Arial" w:cs="Arial"/>
          <w:i/>
          <w:iCs/>
          <w:sz w:val="24"/>
          <w:szCs w:val="24"/>
          <w:lang w:val="en-GB"/>
        </w:rPr>
        <w:t>Evaluation</w:t>
      </w:r>
      <w:r w:rsidRPr="00634580">
        <w:rPr>
          <w:rFonts w:ascii="Arial" w:hAnsi="Arial" w:cs="Arial"/>
          <w:sz w:val="24"/>
          <w:szCs w:val="24"/>
          <w:lang w:val="en-GB"/>
        </w:rPr>
        <w:t xml:space="preserve">, </w:t>
      </w:r>
      <w:r w:rsidRPr="00634580">
        <w:rPr>
          <w:rFonts w:ascii="Arial" w:hAnsi="Arial" w:cs="Arial"/>
          <w:i/>
          <w:iCs/>
          <w:sz w:val="24"/>
          <w:szCs w:val="24"/>
          <w:lang w:val="en-GB"/>
        </w:rPr>
        <w:t>15</w:t>
      </w:r>
      <w:r w:rsidRPr="00634580">
        <w:rPr>
          <w:rFonts w:ascii="Arial" w:hAnsi="Arial" w:cs="Arial"/>
          <w:sz w:val="24"/>
          <w:szCs w:val="24"/>
          <w:lang w:val="en-GB"/>
        </w:rPr>
        <w:t>(3), 321–342. https://doi.org/10.1177/1356389009105884</w:t>
      </w:r>
    </w:p>
    <w:p w14:paraId="4640615C" w14:textId="77777777" w:rsidR="0093626A" w:rsidRPr="00634580" w:rsidRDefault="00000000" w:rsidP="00634580">
      <w:pPr>
        <w:pStyle w:val="Bibliografa1"/>
        <w:spacing w:line="360" w:lineRule="auto"/>
        <w:rPr>
          <w:rFonts w:ascii="Arial" w:hAnsi="Arial" w:cs="Arial"/>
          <w:sz w:val="24"/>
          <w:szCs w:val="24"/>
          <w:lang w:val="fr-FR"/>
        </w:rPr>
      </w:pPr>
      <w:r w:rsidRPr="00634580">
        <w:rPr>
          <w:rFonts w:ascii="Arial" w:hAnsi="Arial" w:cs="Arial"/>
          <w:sz w:val="24"/>
          <w:szCs w:val="24"/>
          <w:lang w:val="en-GB"/>
        </w:rPr>
        <w:t xml:space="preserve">Suarez-Herrera, J. C., White, D., &amp; Battaglini, A. (2013). </w:t>
      </w:r>
      <w:r w:rsidRPr="00634580">
        <w:rPr>
          <w:rFonts w:ascii="Arial" w:hAnsi="Arial" w:cs="Arial"/>
          <w:sz w:val="24"/>
          <w:szCs w:val="24"/>
          <w:lang w:val="fr-FR"/>
        </w:rPr>
        <w:t xml:space="preserve">La recherche participative en CSSS-CAU: Le cas du partenariat ARIMA comme réseau innovateur de traduction des savoirs. </w:t>
      </w:r>
      <w:r w:rsidRPr="00634580">
        <w:rPr>
          <w:rFonts w:ascii="Arial" w:hAnsi="Arial" w:cs="Arial"/>
          <w:i/>
          <w:iCs/>
          <w:sz w:val="24"/>
          <w:szCs w:val="24"/>
          <w:lang w:val="fr-FR"/>
        </w:rPr>
        <w:t>Nouvelles pratiques sociales</w:t>
      </w:r>
      <w:r w:rsidRPr="00634580">
        <w:rPr>
          <w:rFonts w:ascii="Arial" w:hAnsi="Arial" w:cs="Arial"/>
          <w:sz w:val="24"/>
          <w:szCs w:val="24"/>
          <w:lang w:val="fr-FR"/>
        </w:rPr>
        <w:t xml:space="preserve">, </w:t>
      </w:r>
      <w:r w:rsidRPr="00634580">
        <w:rPr>
          <w:rFonts w:ascii="Arial" w:hAnsi="Arial" w:cs="Arial"/>
          <w:i/>
          <w:iCs/>
          <w:sz w:val="24"/>
          <w:szCs w:val="24"/>
          <w:lang w:val="fr-FR"/>
        </w:rPr>
        <w:t>25</w:t>
      </w:r>
      <w:r w:rsidRPr="00634580">
        <w:rPr>
          <w:rFonts w:ascii="Arial" w:hAnsi="Arial" w:cs="Arial"/>
          <w:sz w:val="24"/>
          <w:szCs w:val="24"/>
          <w:lang w:val="fr-FR"/>
        </w:rPr>
        <w:t>(2), 73–88. https://doi.org/10.7202/1020822ar</w:t>
      </w:r>
    </w:p>
    <w:p w14:paraId="2EE3E6DB"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fr-FR"/>
        </w:rPr>
        <w:t xml:space="preserve">Tanabe, M., Pearce, E., &amp; Krause, S. K. (2017). </w:t>
      </w:r>
      <w:r w:rsidRPr="00634580">
        <w:rPr>
          <w:rFonts w:ascii="Arial" w:hAnsi="Arial" w:cs="Arial"/>
          <w:sz w:val="24"/>
          <w:szCs w:val="24"/>
          <w:lang w:val="en-GB"/>
        </w:rPr>
        <w:t xml:space="preserve">“Nothing about us, without us”: Conducting participatory action research among and with persons with disabilities in humanitarian settings. </w:t>
      </w:r>
      <w:r w:rsidRPr="00634580">
        <w:rPr>
          <w:rFonts w:ascii="Arial" w:hAnsi="Arial" w:cs="Arial"/>
          <w:i/>
          <w:iCs/>
          <w:sz w:val="24"/>
          <w:szCs w:val="24"/>
          <w:lang w:val="en-GB"/>
        </w:rPr>
        <w:t>Action Research</w:t>
      </w:r>
      <w:r w:rsidRPr="00634580">
        <w:rPr>
          <w:rFonts w:ascii="Arial" w:hAnsi="Arial" w:cs="Arial"/>
          <w:sz w:val="24"/>
          <w:szCs w:val="24"/>
          <w:lang w:val="en-GB"/>
        </w:rPr>
        <w:t>, 1476750316685878. https://doi.org/10.1177/1476750316685878</w:t>
      </w:r>
    </w:p>
    <w:p w14:paraId="781C30A1"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Terral, P., Ferron, C., &amp; Potvin, L. (2021). </w:t>
      </w:r>
      <w:r w:rsidRPr="00634580">
        <w:rPr>
          <w:rFonts w:ascii="Arial" w:hAnsi="Arial" w:cs="Arial"/>
          <w:sz w:val="24"/>
          <w:szCs w:val="24"/>
          <w:lang w:val="fr-FR"/>
        </w:rPr>
        <w:t xml:space="preserve">Leçons d’un colloque: Les enjeux épistémiques et politiques de la recherche interventionnelle en santé des populations. </w:t>
      </w:r>
      <w:r w:rsidRPr="00634580">
        <w:rPr>
          <w:rFonts w:ascii="Arial" w:hAnsi="Arial" w:cs="Arial"/>
          <w:i/>
          <w:iCs/>
          <w:sz w:val="24"/>
          <w:szCs w:val="24"/>
          <w:lang w:val="en-GB"/>
        </w:rPr>
        <w:t>Global Health Promotion</w:t>
      </w:r>
      <w:r w:rsidRPr="00634580">
        <w:rPr>
          <w:rFonts w:ascii="Arial" w:hAnsi="Arial" w:cs="Arial"/>
          <w:sz w:val="24"/>
          <w:szCs w:val="24"/>
          <w:lang w:val="en-GB"/>
        </w:rPr>
        <w:t xml:space="preserve">, </w:t>
      </w:r>
      <w:r w:rsidRPr="00634580">
        <w:rPr>
          <w:rFonts w:ascii="Arial" w:hAnsi="Arial" w:cs="Arial"/>
          <w:i/>
          <w:iCs/>
          <w:sz w:val="24"/>
          <w:szCs w:val="24"/>
          <w:lang w:val="en-GB"/>
        </w:rPr>
        <w:t>28</w:t>
      </w:r>
      <w:r w:rsidRPr="00634580">
        <w:rPr>
          <w:rFonts w:ascii="Arial" w:hAnsi="Arial" w:cs="Arial"/>
          <w:sz w:val="24"/>
          <w:szCs w:val="24"/>
          <w:lang w:val="en-GB"/>
        </w:rPr>
        <w:t>(1_suppl), 62–65. https://doi.org/10.1177/1757975920984717</w:t>
      </w:r>
    </w:p>
    <w:p w14:paraId="6C827EDB"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Teutsch, S. M., &amp; Fielding, J. E. (2013, March 20). </w:t>
      </w:r>
      <w:r w:rsidRPr="00634580">
        <w:rPr>
          <w:rFonts w:ascii="Arial" w:hAnsi="Arial" w:cs="Arial"/>
          <w:i/>
          <w:iCs/>
          <w:sz w:val="24"/>
          <w:szCs w:val="24"/>
          <w:lang w:val="en-GB"/>
        </w:rPr>
        <w:t>Rediscovering the Core of Public Health</w:t>
      </w:r>
      <w:r w:rsidRPr="00634580">
        <w:rPr>
          <w:rFonts w:ascii="Arial" w:hAnsi="Arial" w:cs="Arial"/>
          <w:sz w:val="24"/>
          <w:szCs w:val="24"/>
          <w:lang w:val="en-GB"/>
        </w:rPr>
        <w:t xml:space="preserve"> [Review-article]. Http://Dx.Doi.Org/10.1146/Annurev-Publhealth-031912-114433. https://doi.org/10.1146/annurev-publhealth-031912-114433</w:t>
      </w:r>
    </w:p>
    <w:p w14:paraId="654986D3"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Theobald, S., Brandes, N., Gyapong, M., El-Saharty, S., Proctor, E., Diaz, T., Wanji, S., Elloker, S., Raven, J., Elsey, H., Bharal, S., Pelletier, D., &amp; Peters, </w:t>
      </w:r>
      <w:r w:rsidRPr="00634580">
        <w:rPr>
          <w:rFonts w:ascii="Arial" w:hAnsi="Arial" w:cs="Arial"/>
          <w:sz w:val="24"/>
          <w:szCs w:val="24"/>
          <w:lang w:val="en-GB"/>
        </w:rPr>
        <w:lastRenderedPageBreak/>
        <w:t xml:space="preserve">D. H. (2018). Implementation research: New imperatives and opportunities in global health. </w:t>
      </w:r>
      <w:r w:rsidRPr="00634580">
        <w:rPr>
          <w:rFonts w:ascii="Arial" w:hAnsi="Arial" w:cs="Arial"/>
          <w:i/>
          <w:iCs/>
          <w:sz w:val="24"/>
          <w:szCs w:val="24"/>
          <w:lang w:val="en-GB"/>
        </w:rPr>
        <w:t>The Lancet</w:t>
      </w:r>
      <w:r w:rsidRPr="00634580">
        <w:rPr>
          <w:rFonts w:ascii="Arial" w:hAnsi="Arial" w:cs="Arial"/>
          <w:sz w:val="24"/>
          <w:szCs w:val="24"/>
          <w:lang w:val="en-GB"/>
        </w:rPr>
        <w:t xml:space="preserve">, </w:t>
      </w:r>
      <w:r w:rsidRPr="00634580">
        <w:rPr>
          <w:rFonts w:ascii="Arial" w:hAnsi="Arial" w:cs="Arial"/>
          <w:i/>
          <w:iCs/>
          <w:sz w:val="24"/>
          <w:szCs w:val="24"/>
          <w:lang w:val="en-GB"/>
        </w:rPr>
        <w:t>392</w:t>
      </w:r>
      <w:r w:rsidRPr="00634580">
        <w:rPr>
          <w:rFonts w:ascii="Arial" w:hAnsi="Arial" w:cs="Arial"/>
          <w:sz w:val="24"/>
          <w:szCs w:val="24"/>
          <w:lang w:val="en-GB"/>
        </w:rPr>
        <w:t>(10160), 2214–2228. https://doi.org/10.1016/S0140-6736(18)32205-0</w:t>
      </w:r>
    </w:p>
    <w:p w14:paraId="50C642D0"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Vaast, E. (2004). O Brother, Where are Thou?: From Communities to Networks of Practice Through Intranet Use. </w:t>
      </w:r>
      <w:r w:rsidRPr="00634580">
        <w:rPr>
          <w:rFonts w:ascii="Arial" w:hAnsi="Arial" w:cs="Arial"/>
          <w:i/>
          <w:iCs/>
          <w:sz w:val="24"/>
          <w:szCs w:val="24"/>
          <w:lang w:val="en-GB"/>
        </w:rPr>
        <w:t>Management Communication Quarterly</w:t>
      </w:r>
      <w:r w:rsidRPr="00634580">
        <w:rPr>
          <w:rFonts w:ascii="Arial" w:hAnsi="Arial" w:cs="Arial"/>
          <w:sz w:val="24"/>
          <w:szCs w:val="24"/>
          <w:lang w:val="en-GB"/>
        </w:rPr>
        <w:t xml:space="preserve">, </w:t>
      </w:r>
      <w:r w:rsidRPr="00634580">
        <w:rPr>
          <w:rFonts w:ascii="Arial" w:hAnsi="Arial" w:cs="Arial"/>
          <w:i/>
          <w:iCs/>
          <w:sz w:val="24"/>
          <w:szCs w:val="24"/>
          <w:lang w:val="en-GB"/>
        </w:rPr>
        <w:t>18</w:t>
      </w:r>
      <w:r w:rsidRPr="00634580">
        <w:rPr>
          <w:rFonts w:ascii="Arial" w:hAnsi="Arial" w:cs="Arial"/>
          <w:sz w:val="24"/>
          <w:szCs w:val="24"/>
          <w:lang w:val="en-GB"/>
        </w:rPr>
        <w:t>(1), 5–44. https://doi.org/10.1177/0893318904265125</w:t>
      </w:r>
    </w:p>
    <w:p w14:paraId="60FE108F"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Vähämaa, M. (2013). Groups as Epistemic Communities: Social Forces and Affect as Antecedents to Knowledge. </w:t>
      </w:r>
      <w:r w:rsidRPr="00634580">
        <w:rPr>
          <w:rFonts w:ascii="Arial" w:hAnsi="Arial" w:cs="Arial"/>
          <w:i/>
          <w:iCs/>
          <w:sz w:val="24"/>
          <w:szCs w:val="24"/>
          <w:lang w:val="en-GB"/>
        </w:rPr>
        <w:t>Social Epistemology</w:t>
      </w:r>
      <w:r w:rsidRPr="00634580">
        <w:rPr>
          <w:rFonts w:ascii="Arial" w:hAnsi="Arial" w:cs="Arial"/>
          <w:sz w:val="24"/>
          <w:szCs w:val="24"/>
          <w:lang w:val="en-GB"/>
        </w:rPr>
        <w:t xml:space="preserve">, </w:t>
      </w:r>
      <w:r w:rsidRPr="00634580">
        <w:rPr>
          <w:rFonts w:ascii="Arial" w:hAnsi="Arial" w:cs="Arial"/>
          <w:i/>
          <w:iCs/>
          <w:sz w:val="24"/>
          <w:szCs w:val="24"/>
          <w:lang w:val="en-GB"/>
        </w:rPr>
        <w:t>27</w:t>
      </w:r>
      <w:r w:rsidRPr="00634580">
        <w:rPr>
          <w:rFonts w:ascii="Arial" w:hAnsi="Arial" w:cs="Arial"/>
          <w:sz w:val="24"/>
          <w:szCs w:val="24"/>
          <w:lang w:val="en-GB"/>
        </w:rPr>
        <w:t>(1), 3–20. https://doi.org/10.1080/02691728.2012.760660</w:t>
      </w:r>
    </w:p>
    <w:p w14:paraId="0DCE267A"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Varmus, H., Klausner, R., Zerhouni, E., Acharya, T., Daar, A. S., &amp; Singer, P. A. (2003). Grand Challenges in Global Health. </w:t>
      </w:r>
      <w:r w:rsidRPr="00634580">
        <w:rPr>
          <w:rFonts w:ascii="Arial" w:hAnsi="Arial" w:cs="Arial"/>
          <w:i/>
          <w:iCs/>
          <w:sz w:val="24"/>
          <w:szCs w:val="24"/>
          <w:lang w:val="en-GB"/>
        </w:rPr>
        <w:t>Science</w:t>
      </w:r>
      <w:r w:rsidRPr="00634580">
        <w:rPr>
          <w:rFonts w:ascii="Arial" w:hAnsi="Arial" w:cs="Arial"/>
          <w:sz w:val="24"/>
          <w:szCs w:val="24"/>
          <w:lang w:val="en-GB"/>
        </w:rPr>
        <w:t xml:space="preserve">, </w:t>
      </w:r>
      <w:r w:rsidRPr="00634580">
        <w:rPr>
          <w:rFonts w:ascii="Arial" w:hAnsi="Arial" w:cs="Arial"/>
          <w:i/>
          <w:iCs/>
          <w:sz w:val="24"/>
          <w:szCs w:val="24"/>
          <w:lang w:val="en-GB"/>
        </w:rPr>
        <w:t>302</w:t>
      </w:r>
      <w:r w:rsidRPr="00634580">
        <w:rPr>
          <w:rFonts w:ascii="Arial" w:hAnsi="Arial" w:cs="Arial"/>
          <w:sz w:val="24"/>
          <w:szCs w:val="24"/>
          <w:lang w:val="en-GB"/>
        </w:rPr>
        <w:t>(5644), 398–399. https://doi.org/10.1126/science.1091769</w:t>
      </w:r>
    </w:p>
    <w:p w14:paraId="38A6D8B5"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Wagner, A., Polak, P., &amp; Świątkiewicz-Mośny, M. (2019). Who defines–who decides? Theorising the epistemic communities, communities of practice and interest groups in the healthcare field: a discursive approach. </w:t>
      </w:r>
      <w:r w:rsidRPr="00634580">
        <w:rPr>
          <w:rFonts w:ascii="Arial" w:hAnsi="Arial" w:cs="Arial"/>
          <w:i/>
          <w:iCs/>
          <w:sz w:val="24"/>
          <w:szCs w:val="24"/>
          <w:lang w:val="en-GB"/>
        </w:rPr>
        <w:t>Social Theory &amp; Health</w:t>
      </w:r>
      <w:r w:rsidRPr="00634580">
        <w:rPr>
          <w:rFonts w:ascii="Arial" w:hAnsi="Arial" w:cs="Arial"/>
          <w:sz w:val="24"/>
          <w:szCs w:val="24"/>
          <w:lang w:val="en-GB"/>
        </w:rPr>
        <w:t xml:space="preserve">, </w:t>
      </w:r>
      <w:r w:rsidRPr="00634580">
        <w:rPr>
          <w:rFonts w:ascii="Arial" w:hAnsi="Arial" w:cs="Arial"/>
          <w:i/>
          <w:iCs/>
          <w:sz w:val="24"/>
          <w:szCs w:val="24"/>
          <w:lang w:val="en-GB"/>
        </w:rPr>
        <w:t>17</w:t>
      </w:r>
      <w:r w:rsidRPr="00634580">
        <w:rPr>
          <w:rFonts w:ascii="Arial" w:hAnsi="Arial" w:cs="Arial"/>
          <w:sz w:val="24"/>
          <w:szCs w:val="24"/>
          <w:lang w:val="en-GB"/>
        </w:rPr>
        <w:t>(2), 192–212. https://doi.org/10.1057/s41285-018-0073-6</w:t>
      </w:r>
    </w:p>
    <w:p w14:paraId="73D46F0B"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Walker, B., &amp; Haslett, T. (2016). Action Research in Management—Ethical Dilemmas. </w:t>
      </w:r>
      <w:r w:rsidRPr="00634580">
        <w:rPr>
          <w:rFonts w:ascii="Arial" w:hAnsi="Arial" w:cs="Arial"/>
          <w:i/>
          <w:iCs/>
          <w:sz w:val="24"/>
          <w:szCs w:val="24"/>
          <w:lang w:val="en-GB"/>
        </w:rPr>
        <w:t>Systemic Practice and Action Research</w:t>
      </w:r>
      <w:r w:rsidRPr="00634580">
        <w:rPr>
          <w:rFonts w:ascii="Arial" w:hAnsi="Arial" w:cs="Arial"/>
          <w:sz w:val="24"/>
          <w:szCs w:val="24"/>
          <w:lang w:val="en-GB"/>
        </w:rPr>
        <w:t xml:space="preserve">, </w:t>
      </w:r>
      <w:r w:rsidRPr="00634580">
        <w:rPr>
          <w:rFonts w:ascii="Arial" w:hAnsi="Arial" w:cs="Arial"/>
          <w:i/>
          <w:iCs/>
          <w:sz w:val="24"/>
          <w:szCs w:val="24"/>
          <w:lang w:val="en-GB"/>
        </w:rPr>
        <w:t>15</w:t>
      </w:r>
      <w:r w:rsidRPr="00634580">
        <w:rPr>
          <w:rFonts w:ascii="Arial" w:hAnsi="Arial" w:cs="Arial"/>
          <w:sz w:val="24"/>
          <w:szCs w:val="24"/>
          <w:lang w:val="en-GB"/>
        </w:rPr>
        <w:t>(6), 523–533. https://doi.org/10.1023/A:1021016821198</w:t>
      </w:r>
    </w:p>
    <w:p w14:paraId="37B4EA4A"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Ward, M., Schulz, A. J., Israel, B. A., Rice, K., Martenies, S. E., &amp; Markarian, E. (2018). A conceptual framework for evaluating health equity promotion within community-based participatory research partnerships. </w:t>
      </w:r>
      <w:r w:rsidRPr="00634580">
        <w:rPr>
          <w:rFonts w:ascii="Arial" w:hAnsi="Arial" w:cs="Arial"/>
          <w:i/>
          <w:iCs/>
          <w:sz w:val="24"/>
          <w:szCs w:val="24"/>
          <w:lang w:val="en-GB"/>
        </w:rPr>
        <w:t>Evaluation and Program Planning</w:t>
      </w:r>
      <w:r w:rsidRPr="00634580">
        <w:rPr>
          <w:rFonts w:ascii="Arial" w:hAnsi="Arial" w:cs="Arial"/>
          <w:sz w:val="24"/>
          <w:szCs w:val="24"/>
          <w:lang w:val="en-GB"/>
        </w:rPr>
        <w:t xml:space="preserve">, </w:t>
      </w:r>
      <w:r w:rsidRPr="00634580">
        <w:rPr>
          <w:rFonts w:ascii="Arial" w:hAnsi="Arial" w:cs="Arial"/>
          <w:i/>
          <w:iCs/>
          <w:sz w:val="24"/>
          <w:szCs w:val="24"/>
          <w:lang w:val="en-GB"/>
        </w:rPr>
        <w:t>70</w:t>
      </w:r>
      <w:r w:rsidRPr="00634580">
        <w:rPr>
          <w:rFonts w:ascii="Arial" w:hAnsi="Arial" w:cs="Arial"/>
          <w:sz w:val="24"/>
          <w:szCs w:val="24"/>
          <w:lang w:val="en-GB"/>
        </w:rPr>
        <w:t>, 25–34. https://doi.org/10.1016/j.evalprogplan.2018.04.014</w:t>
      </w:r>
    </w:p>
    <w:p w14:paraId="328CE4F0"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Wenger, E. (1998). </w:t>
      </w:r>
      <w:r w:rsidRPr="00634580">
        <w:rPr>
          <w:rFonts w:ascii="Arial" w:hAnsi="Arial" w:cs="Arial"/>
          <w:i/>
          <w:iCs/>
          <w:sz w:val="24"/>
          <w:szCs w:val="24"/>
          <w:lang w:val="en-GB"/>
        </w:rPr>
        <w:t>Communities of Practice: Learning, Meaning, and Identity</w:t>
      </w:r>
      <w:r w:rsidRPr="00634580">
        <w:rPr>
          <w:rFonts w:ascii="Arial" w:hAnsi="Arial" w:cs="Arial"/>
          <w:sz w:val="24"/>
          <w:szCs w:val="24"/>
          <w:lang w:val="en-GB"/>
        </w:rPr>
        <w:t>. Cambridge University Press.</w:t>
      </w:r>
    </w:p>
    <w:p w14:paraId="62378CAC"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Wenger, E. (2011). </w:t>
      </w:r>
      <w:r w:rsidRPr="00634580">
        <w:rPr>
          <w:rFonts w:ascii="Arial" w:hAnsi="Arial" w:cs="Arial"/>
          <w:i/>
          <w:iCs/>
          <w:sz w:val="24"/>
          <w:szCs w:val="24"/>
          <w:lang w:val="en-GB"/>
        </w:rPr>
        <w:t>Communities of practice: A brief introduction</w:t>
      </w:r>
      <w:r w:rsidRPr="00634580">
        <w:rPr>
          <w:rFonts w:ascii="Arial" w:hAnsi="Arial" w:cs="Arial"/>
          <w:sz w:val="24"/>
          <w:szCs w:val="24"/>
          <w:lang w:val="en-GB"/>
        </w:rPr>
        <w:t>. http://scholarsbank.uoregon.edu/xmlui/handle/1794/11736</w:t>
      </w:r>
    </w:p>
    <w:p w14:paraId="081C9940"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Worthen, M., Veale, A., McKay, S., &amp; Wessells, M. (2019). The transformative and emancipatory potential of participatory evaluation: Reflections from a </w:t>
      </w:r>
      <w:r w:rsidRPr="00634580">
        <w:rPr>
          <w:rFonts w:ascii="Arial" w:hAnsi="Arial" w:cs="Arial"/>
          <w:sz w:val="24"/>
          <w:szCs w:val="24"/>
          <w:lang w:val="en-GB"/>
        </w:rPr>
        <w:lastRenderedPageBreak/>
        <w:t xml:space="preserve">participatory action research study with war-affected young mothers. </w:t>
      </w:r>
      <w:r w:rsidRPr="00634580">
        <w:rPr>
          <w:rFonts w:ascii="Arial" w:hAnsi="Arial" w:cs="Arial"/>
          <w:i/>
          <w:iCs/>
          <w:sz w:val="24"/>
          <w:szCs w:val="24"/>
          <w:lang w:val="en-GB"/>
        </w:rPr>
        <w:t>Oxford Development Studies</w:t>
      </w:r>
      <w:r w:rsidRPr="00634580">
        <w:rPr>
          <w:rFonts w:ascii="Arial" w:hAnsi="Arial" w:cs="Arial"/>
          <w:sz w:val="24"/>
          <w:szCs w:val="24"/>
          <w:lang w:val="en-GB"/>
        </w:rPr>
        <w:t xml:space="preserve">, </w:t>
      </w:r>
      <w:r w:rsidRPr="00634580">
        <w:rPr>
          <w:rFonts w:ascii="Arial" w:hAnsi="Arial" w:cs="Arial"/>
          <w:i/>
          <w:iCs/>
          <w:sz w:val="24"/>
          <w:szCs w:val="24"/>
          <w:lang w:val="en-GB"/>
        </w:rPr>
        <w:t>47</w:t>
      </w:r>
      <w:r w:rsidRPr="00634580">
        <w:rPr>
          <w:rFonts w:ascii="Arial" w:hAnsi="Arial" w:cs="Arial"/>
          <w:sz w:val="24"/>
          <w:szCs w:val="24"/>
          <w:lang w:val="en-GB"/>
        </w:rPr>
        <w:t>(2), 154–170. https://doi.org/10.1080/13600818.2019.1584282</w:t>
      </w:r>
    </w:p>
    <w:p w14:paraId="4C2FDBE7"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Wright, K. S. (2020). Ethical research in global health emergencies: Making the case for a broader understanding of ‘research ethics’. </w:t>
      </w:r>
      <w:r w:rsidRPr="00634580">
        <w:rPr>
          <w:rFonts w:ascii="Arial" w:hAnsi="Arial" w:cs="Arial"/>
          <w:i/>
          <w:iCs/>
          <w:sz w:val="24"/>
          <w:szCs w:val="24"/>
          <w:lang w:val="en-GB"/>
        </w:rPr>
        <w:t>International Health</w:t>
      </w:r>
      <w:r w:rsidRPr="00634580">
        <w:rPr>
          <w:rFonts w:ascii="Arial" w:hAnsi="Arial" w:cs="Arial"/>
          <w:sz w:val="24"/>
          <w:szCs w:val="24"/>
          <w:lang w:val="en-GB"/>
        </w:rPr>
        <w:t xml:space="preserve">, </w:t>
      </w:r>
      <w:r w:rsidRPr="00634580">
        <w:rPr>
          <w:rFonts w:ascii="Arial" w:hAnsi="Arial" w:cs="Arial"/>
          <w:i/>
          <w:iCs/>
          <w:sz w:val="24"/>
          <w:szCs w:val="24"/>
          <w:lang w:val="en-GB"/>
        </w:rPr>
        <w:t>12</w:t>
      </w:r>
      <w:r w:rsidRPr="00634580">
        <w:rPr>
          <w:rFonts w:ascii="Arial" w:hAnsi="Arial" w:cs="Arial"/>
          <w:sz w:val="24"/>
          <w:szCs w:val="24"/>
          <w:lang w:val="en-GB"/>
        </w:rPr>
        <w:t>(6), 515–517. https://doi.org/10.1093/inthealth/ihaa053</w:t>
      </w:r>
    </w:p>
    <w:p w14:paraId="63141AD6"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Yang, Y., &amp; Su, Y. (2020). Public Voice via Social Media: Role in Cooperative Governance during Public Health Emergency. </w:t>
      </w:r>
      <w:r w:rsidRPr="00634580">
        <w:rPr>
          <w:rFonts w:ascii="Arial" w:hAnsi="Arial" w:cs="Arial"/>
          <w:i/>
          <w:iCs/>
          <w:sz w:val="24"/>
          <w:szCs w:val="24"/>
          <w:lang w:val="en-GB"/>
        </w:rPr>
        <w:t>International Journal of Environmental Research and Public Health</w:t>
      </w:r>
      <w:r w:rsidRPr="00634580">
        <w:rPr>
          <w:rFonts w:ascii="Arial" w:hAnsi="Arial" w:cs="Arial"/>
          <w:sz w:val="24"/>
          <w:szCs w:val="24"/>
          <w:lang w:val="en-GB"/>
        </w:rPr>
        <w:t xml:space="preserve">, </w:t>
      </w:r>
      <w:r w:rsidRPr="00634580">
        <w:rPr>
          <w:rFonts w:ascii="Arial" w:hAnsi="Arial" w:cs="Arial"/>
          <w:i/>
          <w:iCs/>
          <w:sz w:val="24"/>
          <w:szCs w:val="24"/>
          <w:lang w:val="en-GB"/>
        </w:rPr>
        <w:t>17</w:t>
      </w:r>
      <w:r w:rsidRPr="00634580">
        <w:rPr>
          <w:rFonts w:ascii="Arial" w:hAnsi="Arial" w:cs="Arial"/>
          <w:sz w:val="24"/>
          <w:szCs w:val="24"/>
          <w:lang w:val="en-GB"/>
        </w:rPr>
        <w:t>(18), 6840. https://doi.org/10.3390/ijerph17186840</w:t>
      </w:r>
    </w:p>
    <w:p w14:paraId="15566F7E"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Zhang, Z., Shen, Y., &amp; Yu, J. (2020). Combating COVID-19 Together: China’s Collaborative Response and the Role of Business Associations. </w:t>
      </w:r>
      <w:r w:rsidRPr="00634580">
        <w:rPr>
          <w:rFonts w:ascii="Arial" w:hAnsi="Arial" w:cs="Arial"/>
          <w:i/>
          <w:iCs/>
          <w:sz w:val="24"/>
          <w:szCs w:val="24"/>
          <w:lang w:val="en-GB"/>
        </w:rPr>
        <w:t>Nonprofit and Voluntary Sector Quarterly</w:t>
      </w:r>
      <w:r w:rsidRPr="00634580">
        <w:rPr>
          <w:rFonts w:ascii="Arial" w:hAnsi="Arial" w:cs="Arial"/>
          <w:sz w:val="24"/>
          <w:szCs w:val="24"/>
          <w:lang w:val="en-GB"/>
        </w:rPr>
        <w:t>, 0899764020964591. https://doi.org/10.1177/0899764020964591</w:t>
      </w:r>
    </w:p>
    <w:p w14:paraId="2FFFEFE5" w14:textId="77777777" w:rsidR="0093626A" w:rsidRPr="00634580" w:rsidRDefault="00000000" w:rsidP="00634580">
      <w:pPr>
        <w:pStyle w:val="Bibliografa1"/>
        <w:spacing w:line="360" w:lineRule="auto"/>
        <w:rPr>
          <w:rFonts w:ascii="Arial" w:hAnsi="Arial" w:cs="Arial"/>
          <w:sz w:val="24"/>
          <w:szCs w:val="24"/>
          <w:lang w:val="en-GB"/>
        </w:rPr>
      </w:pPr>
      <w:r w:rsidRPr="00634580">
        <w:rPr>
          <w:rFonts w:ascii="Arial" w:hAnsi="Arial" w:cs="Arial"/>
          <w:sz w:val="24"/>
          <w:szCs w:val="24"/>
          <w:lang w:val="en-GB"/>
        </w:rPr>
        <w:t xml:space="preserve">Ziegahn, L., Joosten, Y., Nevarez, L., Hurd, T., Evans, J., Dumbauld, J., &amp; Eder, M. “Mickey”. (2020). Collaboration and Context in the Design of Community-Engaged Research Training. </w:t>
      </w:r>
      <w:r w:rsidRPr="00634580">
        <w:rPr>
          <w:rFonts w:ascii="Arial" w:hAnsi="Arial" w:cs="Arial"/>
          <w:i/>
          <w:iCs/>
          <w:sz w:val="24"/>
          <w:szCs w:val="24"/>
          <w:lang w:val="en-GB"/>
        </w:rPr>
        <w:t>Health Promotion Practice</w:t>
      </w:r>
      <w:r w:rsidRPr="00634580">
        <w:rPr>
          <w:rFonts w:ascii="Arial" w:hAnsi="Arial" w:cs="Arial"/>
          <w:sz w:val="24"/>
          <w:szCs w:val="24"/>
          <w:lang w:val="en-GB"/>
        </w:rPr>
        <w:t>, 152483991989494. https://doi.org/10.1177/1524839919894948</w:t>
      </w:r>
    </w:p>
    <w:p w14:paraId="08A2E3BC" w14:textId="77777777" w:rsidR="0093626A" w:rsidRPr="00634580" w:rsidRDefault="00000000" w:rsidP="00634580">
      <w:pPr>
        <w:pStyle w:val="Bibliografa1"/>
        <w:spacing w:line="360" w:lineRule="auto"/>
        <w:rPr>
          <w:rFonts w:ascii="Arial" w:hAnsi="Arial" w:cs="Arial"/>
          <w:sz w:val="24"/>
          <w:szCs w:val="24"/>
        </w:rPr>
      </w:pPr>
      <w:r w:rsidRPr="00634580">
        <w:rPr>
          <w:rFonts w:ascii="Arial" w:hAnsi="Arial" w:cs="Arial"/>
          <w:sz w:val="24"/>
          <w:szCs w:val="24"/>
          <w:lang w:val="en-GB"/>
        </w:rPr>
        <w:t xml:space="preserve">Zollman, K. J. S. (2013). Network Epistemology: Communication in Epistemic Communities. </w:t>
      </w:r>
      <w:r w:rsidRPr="00634580">
        <w:rPr>
          <w:rFonts w:ascii="Arial" w:hAnsi="Arial" w:cs="Arial"/>
          <w:i/>
          <w:iCs/>
          <w:sz w:val="24"/>
          <w:szCs w:val="24"/>
        </w:rPr>
        <w:t>Philosophy Compass</w:t>
      </w:r>
      <w:r w:rsidRPr="00634580">
        <w:rPr>
          <w:rFonts w:ascii="Arial" w:hAnsi="Arial" w:cs="Arial"/>
          <w:sz w:val="24"/>
          <w:szCs w:val="24"/>
        </w:rPr>
        <w:t xml:space="preserve">, </w:t>
      </w:r>
      <w:r w:rsidRPr="00634580">
        <w:rPr>
          <w:rFonts w:ascii="Arial" w:hAnsi="Arial" w:cs="Arial"/>
          <w:i/>
          <w:iCs/>
          <w:sz w:val="24"/>
          <w:szCs w:val="24"/>
        </w:rPr>
        <w:t>8</w:t>
      </w:r>
      <w:r w:rsidRPr="00634580">
        <w:rPr>
          <w:rFonts w:ascii="Arial" w:hAnsi="Arial" w:cs="Arial"/>
          <w:sz w:val="24"/>
          <w:szCs w:val="24"/>
        </w:rPr>
        <w:t>(1), 15–27. https://doi.org/10.1111/j.1747-9991.2012.00534.x</w:t>
      </w:r>
    </w:p>
    <w:p w14:paraId="1B084F2D" w14:textId="73F51A18" w:rsidR="00B80130" w:rsidRDefault="00000000" w:rsidP="00634580">
      <w:pPr>
        <w:spacing w:line="360" w:lineRule="auto"/>
        <w:rPr>
          <w:lang w:val="es-ES"/>
        </w:rPr>
      </w:pPr>
      <w:r>
        <w:rPr>
          <w:rFonts w:ascii="Arial" w:eastAsiaTheme="majorEastAsia" w:hAnsi="Arial" w:cs="Arial"/>
          <w:color w:val="2F5496" w:themeColor="accent1" w:themeShade="BF"/>
          <w:sz w:val="24"/>
          <w:szCs w:val="24"/>
          <w:lang w:val="es-ES"/>
        </w:rPr>
        <w:fldChar w:fldCharType="end"/>
      </w:r>
      <w:bookmarkEnd w:id="10"/>
    </w:p>
    <w:p w14:paraId="61F50D26" w14:textId="77777777" w:rsidR="00B80130" w:rsidRPr="00634580" w:rsidRDefault="00B80130" w:rsidP="00634580">
      <w:pPr>
        <w:spacing w:line="360" w:lineRule="auto"/>
      </w:pPr>
    </w:p>
    <w:p w14:paraId="7BFF1A7C" w14:textId="77777777" w:rsidR="0093626A" w:rsidRPr="00634580" w:rsidRDefault="00000000" w:rsidP="00634580">
      <w:pPr>
        <w:pStyle w:val="Ttulo1"/>
        <w:spacing w:before="0" w:line="360" w:lineRule="auto"/>
        <w:jc w:val="center"/>
        <w:rPr>
          <w:rFonts w:ascii="Arial" w:hAnsi="Arial" w:cs="Arial"/>
          <w:b/>
          <w:bCs/>
          <w:color w:val="000000" w:themeColor="text1"/>
          <w:sz w:val="24"/>
          <w:szCs w:val="24"/>
        </w:rPr>
      </w:pPr>
      <w:bookmarkStart w:id="15" w:name="_Hlk219800890"/>
      <w:r w:rsidRPr="00634580">
        <w:rPr>
          <w:rFonts w:ascii="Arial" w:hAnsi="Arial" w:cs="Arial"/>
          <w:b/>
          <w:bCs/>
          <w:color w:val="000000" w:themeColor="text1"/>
          <w:sz w:val="24"/>
          <w:szCs w:val="24"/>
        </w:rPr>
        <w:lastRenderedPageBreak/>
        <w:t>Administración de Proyectos: Evolución Teórica y Perspectiva Empírica Cuantitativa en Oil &amp;Gas de México</w:t>
      </w:r>
    </w:p>
    <w:bookmarkEnd w:id="15"/>
    <w:p w14:paraId="04A7FE43" w14:textId="77777777" w:rsidR="0093626A" w:rsidRPr="00634580" w:rsidRDefault="00000000" w:rsidP="00634580">
      <w:pPr>
        <w:pStyle w:val="Ttulo1"/>
        <w:spacing w:before="0" w:line="360" w:lineRule="auto"/>
        <w:jc w:val="center"/>
        <w:rPr>
          <w:rFonts w:ascii="Arial" w:hAnsi="Arial" w:cs="Arial"/>
          <w:b/>
          <w:bCs/>
          <w:color w:val="000000" w:themeColor="text1"/>
          <w:sz w:val="24"/>
          <w:szCs w:val="24"/>
          <w:lang w:val="en-US"/>
        </w:rPr>
      </w:pPr>
      <w:r w:rsidRPr="00634580">
        <w:rPr>
          <w:rFonts w:ascii="Arial" w:hAnsi="Arial"/>
          <w:b/>
          <w:bCs/>
          <w:color w:val="000000" w:themeColor="text1"/>
          <w:sz w:val="24"/>
          <w:szCs w:val="24"/>
          <w:lang w:val="en-US"/>
        </w:rPr>
        <w:t>Project Management: Theoretical Evolution and Quantitative Empirical Perspective in Oil &amp; Gas of Mexico</w:t>
      </w:r>
    </w:p>
    <w:p w14:paraId="3DCAB914" w14:textId="77777777" w:rsidR="00B80130" w:rsidRPr="00634580" w:rsidRDefault="00B80130" w:rsidP="00634580">
      <w:pPr>
        <w:pStyle w:val="Ttulo1"/>
        <w:spacing w:before="0" w:line="360" w:lineRule="auto"/>
        <w:jc w:val="center"/>
        <w:rPr>
          <w:rFonts w:ascii="Arial" w:hAnsi="Arial" w:cs="Arial"/>
          <w:i/>
          <w:iCs/>
          <w:color w:val="000000" w:themeColor="text1"/>
          <w:sz w:val="24"/>
          <w:szCs w:val="24"/>
          <w:lang w:val="en-US"/>
        </w:rPr>
      </w:pPr>
      <w:bookmarkStart w:id="16" w:name="_Hlk219800908"/>
    </w:p>
    <w:p w14:paraId="3BD20384" w14:textId="34AB332C" w:rsidR="0093626A" w:rsidRPr="00634580" w:rsidRDefault="00000000" w:rsidP="00634580">
      <w:pPr>
        <w:pStyle w:val="Ttulo1"/>
        <w:spacing w:before="0" w:line="360" w:lineRule="auto"/>
        <w:jc w:val="center"/>
        <w:rPr>
          <w:rFonts w:ascii="Arial" w:hAnsi="Arial" w:cs="Arial"/>
          <w:i/>
          <w:iCs/>
          <w:color w:val="000000" w:themeColor="text1"/>
          <w:sz w:val="24"/>
          <w:szCs w:val="24"/>
          <w:lang w:val="es-MX"/>
        </w:rPr>
      </w:pPr>
      <w:r w:rsidRPr="00634580">
        <w:rPr>
          <w:rFonts w:ascii="Arial" w:hAnsi="Arial" w:cs="Arial"/>
          <w:i/>
          <w:iCs/>
          <w:color w:val="000000" w:themeColor="text1"/>
          <w:sz w:val="24"/>
          <w:szCs w:val="24"/>
          <w:lang w:val="es-MX"/>
        </w:rPr>
        <w:t>María De la Luz Martínez</w:t>
      </w:r>
    </w:p>
    <w:p w14:paraId="02DDBB1E" w14:textId="26D7003E" w:rsidR="0093626A" w:rsidRPr="00634580" w:rsidRDefault="00000000" w:rsidP="00634580">
      <w:pPr>
        <w:pStyle w:val="Ttulo1"/>
        <w:spacing w:before="0" w:line="360" w:lineRule="auto"/>
        <w:jc w:val="center"/>
        <w:rPr>
          <w:rFonts w:ascii="Arial" w:hAnsi="Arial" w:cs="Arial"/>
          <w:i/>
          <w:iCs/>
          <w:color w:val="000000" w:themeColor="text1"/>
          <w:sz w:val="24"/>
          <w:szCs w:val="24"/>
          <w:lang w:val="es-MX"/>
        </w:rPr>
      </w:pPr>
      <w:r w:rsidRPr="00634580">
        <w:rPr>
          <w:rFonts w:ascii="Arial" w:hAnsi="Arial" w:cs="Arial"/>
          <w:i/>
          <w:iCs/>
          <w:color w:val="000000" w:themeColor="text1"/>
          <w:sz w:val="24"/>
          <w:szCs w:val="24"/>
          <w:lang w:val="es-MX"/>
        </w:rPr>
        <w:t>Lilián Patricia Parra López</w:t>
      </w:r>
    </w:p>
    <w:bookmarkEnd w:id="16"/>
    <w:p w14:paraId="0F60316A" w14:textId="77777777" w:rsidR="0093626A" w:rsidRDefault="0093626A" w:rsidP="00634580">
      <w:pPr>
        <w:pStyle w:val="Ttulo1"/>
        <w:spacing w:line="360" w:lineRule="auto"/>
        <w:rPr>
          <w:rFonts w:ascii="Arial" w:hAnsi="Arial" w:cs="Arial"/>
          <w:sz w:val="24"/>
          <w:szCs w:val="24"/>
        </w:rPr>
      </w:pPr>
    </w:p>
    <w:p w14:paraId="785455DF" w14:textId="77777777" w:rsidR="0093626A" w:rsidRPr="00634580" w:rsidRDefault="00000000" w:rsidP="00634580">
      <w:pPr>
        <w:pStyle w:val="Ttulo1"/>
        <w:spacing w:line="360" w:lineRule="auto"/>
        <w:rPr>
          <w:rFonts w:ascii="Arial" w:hAnsi="Arial" w:cs="Arial"/>
          <w:color w:val="000000" w:themeColor="text1"/>
          <w:sz w:val="24"/>
          <w:szCs w:val="24"/>
        </w:rPr>
      </w:pPr>
      <w:r w:rsidRPr="00634580">
        <w:rPr>
          <w:rFonts w:ascii="Arial" w:hAnsi="Arial" w:cs="Arial"/>
          <w:color w:val="000000" w:themeColor="text1"/>
          <w:sz w:val="24"/>
          <w:szCs w:val="24"/>
        </w:rPr>
        <w:t>Resumen</w:t>
      </w:r>
    </w:p>
    <w:p w14:paraId="566F3CDA" w14:textId="77777777" w:rsidR="0093626A" w:rsidRPr="00634580" w:rsidRDefault="00000000" w:rsidP="00634580">
      <w:pPr>
        <w:spacing w:line="360" w:lineRule="auto"/>
        <w:rPr>
          <w:rFonts w:ascii="Arial" w:hAnsi="Arial" w:cs="Arial"/>
          <w:color w:val="000000" w:themeColor="text1"/>
          <w:sz w:val="24"/>
          <w:szCs w:val="24"/>
        </w:rPr>
      </w:pPr>
      <w:r w:rsidRPr="00634580">
        <w:rPr>
          <w:rFonts w:ascii="Arial" w:hAnsi="Arial" w:cs="Arial"/>
          <w:color w:val="000000" w:themeColor="text1"/>
          <w:sz w:val="24"/>
          <w:szCs w:val="24"/>
        </w:rPr>
        <w:t>Si bien la Administración de Proyectos es uno de los desarrollos más recientes en el ámbito de las ciencias administrativas, su importancia es creciente dado que existen cada vez más sectores productivos que migran hacia la organización basadas en proyectos, porque es una estructura que favorece una ágil adaptación a los acelerados y disruptivos cambios en la actualidad y les permiten crear y mantener ventajas competitivas que aseguren sus resultados exitosos hacia el mediano y largo plazo.</w:t>
      </w:r>
    </w:p>
    <w:p w14:paraId="047E6651" w14:textId="77777777" w:rsidR="0093626A" w:rsidRPr="00634580" w:rsidRDefault="00000000" w:rsidP="00634580">
      <w:pPr>
        <w:spacing w:line="360" w:lineRule="auto"/>
        <w:ind w:firstLine="708"/>
        <w:rPr>
          <w:rFonts w:ascii="Arial" w:hAnsi="Arial" w:cs="Arial"/>
          <w:color w:val="000000" w:themeColor="text1"/>
          <w:sz w:val="24"/>
          <w:szCs w:val="24"/>
        </w:rPr>
      </w:pPr>
      <w:r w:rsidRPr="00634580">
        <w:rPr>
          <w:rFonts w:ascii="Arial" w:hAnsi="Arial" w:cs="Arial"/>
          <w:color w:val="000000" w:themeColor="text1"/>
          <w:sz w:val="24"/>
          <w:szCs w:val="24"/>
        </w:rPr>
        <w:t xml:space="preserve">El presente trabajo parte de un análisis con visión holística sobre la historia y evolución teórica de la disciplina de Administración de Proyectos hasta el contexto actual y complementa con un estudio empírico basado en investigaciones recientes que es llevado a nivel cuantitativo con análisis estadístico y factorial, mediante la adaptación de un instrumento que se aplicó a nivel de prueba piloto en el Sector mexicano de Exploración y Producción Petrolero conocido como </w:t>
      </w:r>
      <w:r w:rsidRPr="00634580">
        <w:rPr>
          <w:rFonts w:ascii="Arial" w:hAnsi="Arial" w:cs="Arial"/>
          <w:i/>
          <w:iCs/>
          <w:color w:val="000000" w:themeColor="text1"/>
          <w:sz w:val="24"/>
          <w:szCs w:val="24"/>
        </w:rPr>
        <w:t>Oil &amp; Gas</w:t>
      </w:r>
      <w:r w:rsidRPr="00634580">
        <w:rPr>
          <w:rFonts w:ascii="Arial" w:hAnsi="Arial" w:cs="Arial"/>
          <w:color w:val="000000" w:themeColor="text1"/>
          <w:sz w:val="24"/>
          <w:szCs w:val="24"/>
        </w:rPr>
        <w:t xml:space="preserve"> (O&amp;G). </w:t>
      </w:r>
    </w:p>
    <w:p w14:paraId="0027F338" w14:textId="77777777" w:rsidR="0093626A" w:rsidRPr="00634580" w:rsidRDefault="00000000" w:rsidP="00634580">
      <w:pPr>
        <w:spacing w:line="360" w:lineRule="auto"/>
        <w:ind w:firstLine="708"/>
        <w:rPr>
          <w:rFonts w:ascii="Arial" w:hAnsi="Arial" w:cs="Arial"/>
          <w:color w:val="000000" w:themeColor="text1"/>
          <w:sz w:val="24"/>
          <w:szCs w:val="24"/>
        </w:rPr>
      </w:pPr>
      <w:r w:rsidRPr="00634580">
        <w:rPr>
          <w:rFonts w:ascii="Arial" w:hAnsi="Arial" w:cs="Arial"/>
          <w:color w:val="000000" w:themeColor="text1"/>
          <w:sz w:val="24"/>
          <w:szCs w:val="24"/>
        </w:rPr>
        <w:t>El desarrollo del estudio empírico se fundamenta en investigaciones a nivel exploratorio y confirmatorio de la Administración de Proyectos, basados en la Teoría de los Recursos de la Empresa (</w:t>
      </w:r>
      <w:r w:rsidRPr="00634580">
        <w:rPr>
          <w:rFonts w:ascii="Arial" w:hAnsi="Arial" w:cs="Arial"/>
          <w:i/>
          <w:iCs/>
          <w:color w:val="000000" w:themeColor="text1"/>
          <w:sz w:val="24"/>
          <w:szCs w:val="24"/>
        </w:rPr>
        <w:t>Resource Based View</w:t>
      </w:r>
      <w:r w:rsidRPr="00634580">
        <w:rPr>
          <w:rFonts w:ascii="Arial" w:hAnsi="Arial" w:cs="Arial"/>
          <w:color w:val="000000" w:themeColor="text1"/>
          <w:sz w:val="24"/>
          <w:szCs w:val="24"/>
        </w:rPr>
        <w:t>) y el Esquema de Recursos Valiosos, Raros, Inimitables y Organizacionalmente Soportados (</w:t>
      </w:r>
      <w:r w:rsidRPr="00634580">
        <w:rPr>
          <w:rFonts w:ascii="Arial" w:hAnsi="Arial" w:cs="Arial"/>
          <w:i/>
          <w:iCs/>
          <w:color w:val="000000" w:themeColor="text1"/>
          <w:sz w:val="24"/>
          <w:szCs w:val="24"/>
        </w:rPr>
        <w:t>VRIO</w:t>
      </w:r>
      <w:r w:rsidRPr="00634580">
        <w:rPr>
          <w:rFonts w:ascii="Arial" w:hAnsi="Arial" w:cs="Arial"/>
          <w:color w:val="000000" w:themeColor="text1"/>
          <w:sz w:val="24"/>
          <w:szCs w:val="24"/>
        </w:rPr>
        <w:t xml:space="preserve">), cuyo instrumento de medición para la variable considerada de resultados empresariales es la denominada Desempeño de Administración de Proyectos </w:t>
      </w:r>
      <w:r w:rsidRPr="00634580">
        <w:rPr>
          <w:rFonts w:ascii="Arial" w:hAnsi="Arial" w:cs="Arial"/>
          <w:color w:val="000000" w:themeColor="text1"/>
          <w:sz w:val="24"/>
          <w:szCs w:val="24"/>
        </w:rPr>
        <w:lastRenderedPageBreak/>
        <w:t>(DAP), fue adaptado, validado con juicio de expertos. Se logró confirmar la fiabilidad y validez del constructo de investigación.</w:t>
      </w:r>
    </w:p>
    <w:p w14:paraId="17AA4AE4" w14:textId="77777777" w:rsidR="0093626A" w:rsidRPr="00634580" w:rsidRDefault="00000000" w:rsidP="00634580">
      <w:pPr>
        <w:spacing w:line="360" w:lineRule="auto"/>
        <w:rPr>
          <w:rFonts w:ascii="Arial" w:hAnsi="Arial" w:cs="Arial"/>
          <w:color w:val="000000" w:themeColor="text1"/>
          <w:sz w:val="24"/>
          <w:szCs w:val="24"/>
        </w:rPr>
      </w:pPr>
      <w:r w:rsidRPr="00634580">
        <w:rPr>
          <w:rFonts w:ascii="Arial" w:hAnsi="Arial" w:cs="Arial"/>
          <w:b/>
          <w:bCs/>
          <w:color w:val="000000" w:themeColor="text1"/>
          <w:sz w:val="24"/>
          <w:szCs w:val="24"/>
        </w:rPr>
        <w:t>Palabras Clave:</w:t>
      </w:r>
      <w:r w:rsidRPr="00634580">
        <w:rPr>
          <w:rFonts w:ascii="Arial" w:hAnsi="Arial" w:cs="Arial"/>
          <w:color w:val="000000" w:themeColor="text1"/>
          <w:sz w:val="24"/>
          <w:szCs w:val="24"/>
        </w:rPr>
        <w:t xml:space="preserve"> Administración de Proyectos, Sectores Basados en Proyectos, Desempeño de Administración de Proyectos.</w:t>
      </w:r>
    </w:p>
    <w:p w14:paraId="7B07D25C" w14:textId="77777777" w:rsidR="0093626A" w:rsidRPr="00634580" w:rsidRDefault="00000000" w:rsidP="00634580">
      <w:pPr>
        <w:pStyle w:val="Ttulo1"/>
        <w:spacing w:line="360" w:lineRule="auto"/>
        <w:rPr>
          <w:rFonts w:ascii="Arial" w:hAnsi="Arial"/>
          <w:b/>
          <w:bCs/>
          <w:color w:val="000000" w:themeColor="text1"/>
          <w:sz w:val="24"/>
          <w:szCs w:val="24"/>
        </w:rPr>
      </w:pPr>
      <w:r w:rsidRPr="00634580">
        <w:rPr>
          <w:rFonts w:ascii="Arial" w:hAnsi="Arial"/>
          <w:b/>
          <w:bCs/>
          <w:color w:val="000000" w:themeColor="text1"/>
          <w:sz w:val="24"/>
          <w:szCs w:val="24"/>
        </w:rPr>
        <w:t>Abstract</w:t>
      </w:r>
    </w:p>
    <w:p w14:paraId="761E1134" w14:textId="77777777" w:rsidR="0093626A" w:rsidRPr="00634580" w:rsidRDefault="00000000" w:rsidP="00634580">
      <w:pPr>
        <w:pStyle w:val="Ttulo1"/>
        <w:spacing w:line="360" w:lineRule="auto"/>
        <w:rPr>
          <w:rFonts w:ascii="Arial" w:hAnsi="Arial"/>
          <w:color w:val="000000" w:themeColor="text1"/>
          <w:sz w:val="24"/>
          <w:szCs w:val="24"/>
        </w:rPr>
      </w:pPr>
      <w:r w:rsidRPr="00634580">
        <w:rPr>
          <w:rFonts w:ascii="Arial" w:hAnsi="Arial"/>
          <w:color w:val="000000" w:themeColor="text1"/>
          <w:sz w:val="24"/>
          <w:szCs w:val="24"/>
        </w:rPr>
        <w:t>While Project Management is one of the most recent developments in the field of administrative sciences, its importance is growing as more and more productive sectors migrate towards project-based organizations. This structure fosters agile adaptation to today's accelerated and disruptive changes, enabling them to create and maintain competitive advantages that ensure successful results in the medium and long term.</w:t>
      </w:r>
    </w:p>
    <w:p w14:paraId="7A86FEFC" w14:textId="77777777" w:rsidR="0093626A" w:rsidRPr="00634580" w:rsidRDefault="00000000" w:rsidP="00634580">
      <w:pPr>
        <w:pStyle w:val="Ttulo1"/>
        <w:spacing w:line="360" w:lineRule="auto"/>
        <w:ind w:firstLine="708"/>
        <w:rPr>
          <w:rFonts w:ascii="Arial" w:hAnsi="Arial"/>
          <w:color w:val="000000" w:themeColor="text1"/>
          <w:sz w:val="24"/>
          <w:szCs w:val="24"/>
        </w:rPr>
      </w:pPr>
      <w:r w:rsidRPr="00634580">
        <w:rPr>
          <w:rFonts w:ascii="Arial" w:hAnsi="Arial"/>
          <w:color w:val="000000" w:themeColor="text1"/>
          <w:sz w:val="24"/>
          <w:szCs w:val="24"/>
          <w:lang w:val="es-MX"/>
        </w:rPr>
        <w:t>T</w:t>
      </w:r>
      <w:r w:rsidRPr="00634580">
        <w:rPr>
          <w:rFonts w:ascii="Arial" w:hAnsi="Arial"/>
          <w:color w:val="000000" w:themeColor="text1"/>
          <w:sz w:val="24"/>
          <w:szCs w:val="24"/>
        </w:rPr>
        <w:t>his paper begins with a holistic analysis of the history and theoretical evolution of the Project Management discipline up to the current context. It is complemented by an empirical study based on recent research, which is conducted quantitatively using statistical and factor analysis. This analysis is achieved through the adaptation of an instrument that was applied as a pilot test in the Mexican Oil &amp; Gas (O&amp;G) sector. The development of this empirical study is based on exploratory and confirmatory research in Project Management, grounded in the Resource-Based View and the Rare, Inimitable, and Organizationally Supported Resources (VRIO) framework. The measurement instrument for the business outcome variable considered, Project Management Performance (PMP), was adapted and validated through expert review. The reliability and validity of the research construct were confirmed.</w:t>
      </w:r>
    </w:p>
    <w:p w14:paraId="27F0F692" w14:textId="77777777" w:rsidR="0093626A" w:rsidRPr="00634580" w:rsidRDefault="00000000" w:rsidP="00634580">
      <w:pPr>
        <w:pStyle w:val="Ttulo1"/>
        <w:spacing w:line="360" w:lineRule="auto"/>
        <w:rPr>
          <w:rFonts w:ascii="Arial" w:hAnsi="Arial" w:cs="Arial"/>
          <w:color w:val="000000" w:themeColor="text1"/>
          <w:sz w:val="24"/>
          <w:szCs w:val="24"/>
        </w:rPr>
      </w:pPr>
      <w:r w:rsidRPr="00634580">
        <w:rPr>
          <w:rFonts w:ascii="Arial" w:hAnsi="Arial"/>
          <w:color w:val="000000" w:themeColor="text1"/>
          <w:sz w:val="24"/>
          <w:szCs w:val="24"/>
        </w:rPr>
        <w:t>Keywords: Project Management, Project-Based Industries, Project Management Performance.</w:t>
      </w:r>
    </w:p>
    <w:p w14:paraId="622FFD9A" w14:textId="77777777" w:rsidR="0093626A" w:rsidRPr="00634580" w:rsidRDefault="00000000" w:rsidP="00634580">
      <w:pPr>
        <w:pStyle w:val="Ttulo1"/>
        <w:spacing w:line="360" w:lineRule="auto"/>
        <w:rPr>
          <w:rFonts w:ascii="Arial" w:hAnsi="Arial" w:cs="Arial"/>
          <w:b/>
          <w:bCs/>
          <w:color w:val="000000" w:themeColor="text1"/>
          <w:sz w:val="24"/>
          <w:szCs w:val="24"/>
        </w:rPr>
      </w:pPr>
      <w:r w:rsidRPr="00634580">
        <w:rPr>
          <w:rFonts w:ascii="Arial" w:hAnsi="Arial" w:cs="Arial"/>
          <w:b/>
          <w:bCs/>
          <w:color w:val="000000" w:themeColor="text1"/>
          <w:sz w:val="24"/>
          <w:szCs w:val="24"/>
        </w:rPr>
        <w:t>Introducción</w:t>
      </w:r>
    </w:p>
    <w:p w14:paraId="6620F07C" w14:textId="77777777" w:rsidR="0093626A" w:rsidRPr="00634580" w:rsidRDefault="00000000" w:rsidP="00634580">
      <w:pPr>
        <w:spacing w:line="360" w:lineRule="auto"/>
        <w:rPr>
          <w:rFonts w:ascii="Arial" w:hAnsi="Arial" w:cs="Arial"/>
          <w:color w:val="000000" w:themeColor="text1"/>
          <w:sz w:val="24"/>
          <w:szCs w:val="24"/>
        </w:rPr>
      </w:pPr>
      <w:r w:rsidRPr="00634580">
        <w:rPr>
          <w:rFonts w:ascii="Arial" w:hAnsi="Arial" w:cs="Arial"/>
          <w:color w:val="000000" w:themeColor="text1"/>
          <w:sz w:val="24"/>
          <w:szCs w:val="24"/>
        </w:rPr>
        <w:t xml:space="preserve">Desde los primeros monumentos arquitectónicos construidos en los años antes de Cristo, hasta aquellos de la época moderna, diversos autores analizan prácticas </w:t>
      </w:r>
      <w:r w:rsidRPr="00634580">
        <w:rPr>
          <w:rFonts w:ascii="Arial" w:hAnsi="Arial" w:cs="Arial"/>
          <w:color w:val="000000" w:themeColor="text1"/>
          <w:sz w:val="24"/>
          <w:szCs w:val="24"/>
        </w:rPr>
        <w:lastRenderedPageBreak/>
        <w:t xml:space="preserve">primigenias de la administración de proyectos (Heldman (2003) citado en Chiu, </w:t>
      </w:r>
      <w:sdt>
        <w:sdtPr>
          <w:rPr>
            <w:rFonts w:ascii="Arial" w:hAnsi="Arial" w:cs="Arial"/>
            <w:color w:val="000000" w:themeColor="text1"/>
            <w:sz w:val="24"/>
            <w:szCs w:val="24"/>
          </w:rPr>
          <w:id w:val="1171299369"/>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CITATION Chi11 \n  \t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(2011)</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 xml:space="preserve">, Kozak-Holland </w:t>
      </w:r>
      <w:sdt>
        <w:sdtPr>
          <w:rPr>
            <w:rFonts w:ascii="Arial" w:hAnsi="Arial" w:cs="Arial"/>
            <w:color w:val="000000" w:themeColor="text1"/>
            <w:sz w:val="24"/>
            <w:szCs w:val="24"/>
          </w:rPr>
          <w:id w:val="972950525"/>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CITATION Koz11 \n  \t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(2011)</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 xml:space="preserve"> y Seymour &amp; Hussein </w:t>
      </w:r>
      <w:sdt>
        <w:sdtPr>
          <w:rPr>
            <w:rFonts w:ascii="Arial" w:hAnsi="Arial" w:cs="Arial"/>
            <w:color w:val="000000" w:themeColor="text1"/>
            <w:sz w:val="24"/>
            <w:szCs w:val="24"/>
          </w:rPr>
          <w:id w:val="912508786"/>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CITATION Sym14 \n  \t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(2014)</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 y se considera que sus fundamentos como nueva disciplina administrativa surgen a partir de la década de 1950’s con el desarrollo de métodos prácticos para la planeación y ejecución proyectos (Snyder &amp; Kline, 1987, citados en Kwak,</w:t>
      </w:r>
      <w:sdt>
        <w:sdtPr>
          <w:rPr>
            <w:rFonts w:ascii="Arial" w:hAnsi="Arial" w:cs="Arial"/>
            <w:color w:val="000000" w:themeColor="text1"/>
            <w:sz w:val="24"/>
            <w:szCs w:val="24"/>
          </w:rPr>
          <w:id w:val="1481971800"/>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CITATION Kwa \n  \t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 xml:space="preserve"> (2003)</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 seguidas por la documentación de mejores prácticas y estándares para la gestión de proyectos por organizaciones internacionales dedicadas a la formalización y certificación de profesionales en esta disciplina (International Project Management Association [IPMA], 2006; Project Management Institute [PMI], 2017; Seymour &amp; Hussein, 2014; Vélez, Zapata, &amp; Henao, 2018).</w:t>
      </w:r>
    </w:p>
    <w:p w14:paraId="18B6A256" w14:textId="4C7ACB95" w:rsidR="0093626A" w:rsidRPr="00634580" w:rsidRDefault="00000000" w:rsidP="00634580">
      <w:pPr>
        <w:spacing w:line="360" w:lineRule="auto"/>
        <w:ind w:firstLine="708"/>
        <w:rPr>
          <w:rFonts w:ascii="Arial" w:hAnsi="Arial" w:cs="Arial"/>
          <w:color w:val="000000" w:themeColor="text1"/>
          <w:sz w:val="24"/>
          <w:szCs w:val="24"/>
        </w:rPr>
      </w:pPr>
      <w:r w:rsidRPr="00634580">
        <w:rPr>
          <w:rFonts w:ascii="Arial" w:hAnsi="Arial" w:cs="Arial"/>
          <w:color w:val="000000" w:themeColor="text1"/>
          <w:sz w:val="24"/>
          <w:szCs w:val="24"/>
        </w:rPr>
        <w:t xml:space="preserve">Existen, de acuerdo con Lalonde et al.  </w:t>
      </w:r>
      <w:sdt>
        <w:sdtPr>
          <w:rPr>
            <w:rFonts w:ascii="Arial" w:hAnsi="Arial" w:cs="Arial"/>
            <w:color w:val="000000" w:themeColor="text1"/>
            <w:sz w:val="24"/>
            <w:szCs w:val="24"/>
          </w:rPr>
          <w:id w:val="-599178100"/>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CITATION Lal10 \n  \t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(2010)</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 xml:space="preserve"> y Sejvig </w:t>
      </w:r>
      <w:sdt>
        <w:sdtPr>
          <w:rPr>
            <w:rFonts w:ascii="Arial" w:hAnsi="Arial" w:cs="Arial"/>
            <w:color w:val="000000" w:themeColor="text1"/>
            <w:sz w:val="24"/>
            <w:szCs w:val="24"/>
          </w:rPr>
          <w:id w:val="2144152963"/>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CITATION Sej21 \n  \t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(2021)</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 xml:space="preserve">, múltiples argumentaciones contradictorias en el ámbito académico con relación a la base teórica que sustenta esta </w:t>
      </w:r>
      <w:r w:rsidR="00B827DF" w:rsidRPr="00B827DF">
        <w:rPr>
          <w:rFonts w:ascii="Arial" w:hAnsi="Arial" w:cs="Arial"/>
          <w:color w:val="000000" w:themeColor="text1"/>
          <w:sz w:val="24"/>
          <w:szCs w:val="24"/>
        </w:rPr>
        <w:t>disciplina,</w:t>
      </w:r>
      <w:r w:rsidRPr="00634580">
        <w:rPr>
          <w:rFonts w:ascii="Arial" w:hAnsi="Arial" w:cs="Arial"/>
          <w:color w:val="000000" w:themeColor="text1"/>
          <w:sz w:val="24"/>
          <w:szCs w:val="24"/>
        </w:rPr>
        <w:t xml:space="preserve"> pero, con base en los enfoques filosóficos de la ciencia y la tipología en la clasificación de teorías, se reconocen no una, sino varias propuestas teóricas tras el desarrollo de la disciplina de Administración de Proyectos.</w:t>
      </w:r>
    </w:p>
    <w:p w14:paraId="317E7630" w14:textId="77777777" w:rsidR="0093626A" w:rsidRPr="00634580" w:rsidRDefault="00000000" w:rsidP="00634580">
      <w:pPr>
        <w:pStyle w:val="Ttulo2"/>
        <w:spacing w:line="360" w:lineRule="auto"/>
        <w:rPr>
          <w:rFonts w:ascii="Arial" w:hAnsi="Arial" w:cs="Arial"/>
          <w:color w:val="000000" w:themeColor="text1"/>
          <w:sz w:val="24"/>
          <w:szCs w:val="24"/>
        </w:rPr>
      </w:pPr>
      <w:r w:rsidRPr="00634580">
        <w:rPr>
          <w:rFonts w:ascii="Arial" w:hAnsi="Arial" w:cs="Arial"/>
          <w:color w:val="000000" w:themeColor="text1"/>
          <w:sz w:val="24"/>
          <w:szCs w:val="24"/>
        </w:rPr>
        <w:t>Historia y Evolución Teórica</w:t>
      </w:r>
    </w:p>
    <w:p w14:paraId="5B88EB13" w14:textId="77777777" w:rsidR="0093626A" w:rsidRPr="00634580" w:rsidRDefault="00000000" w:rsidP="00634580">
      <w:pPr>
        <w:spacing w:line="360" w:lineRule="auto"/>
        <w:rPr>
          <w:rFonts w:ascii="Arial" w:hAnsi="Arial" w:cs="Arial"/>
          <w:color w:val="000000" w:themeColor="text1"/>
          <w:sz w:val="24"/>
          <w:szCs w:val="24"/>
        </w:rPr>
      </w:pPr>
      <w:r w:rsidRPr="00634580">
        <w:rPr>
          <w:rFonts w:ascii="Arial" w:hAnsi="Arial" w:cs="Arial"/>
          <w:color w:val="000000" w:themeColor="text1"/>
          <w:sz w:val="24"/>
          <w:szCs w:val="24"/>
        </w:rPr>
        <w:t xml:space="preserve">Desde tiempos ancestrales, de acuerdo con Heldman (2003) citado en Chiu </w:t>
      </w:r>
      <w:sdt>
        <w:sdtPr>
          <w:rPr>
            <w:rFonts w:ascii="Arial" w:hAnsi="Arial" w:cs="Arial"/>
            <w:color w:val="000000" w:themeColor="text1"/>
            <w:sz w:val="24"/>
            <w:szCs w:val="24"/>
          </w:rPr>
          <w:id w:val="-1938132480"/>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CITATION Chi11 \n  \t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(2011)</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 xml:space="preserve">,  Kozak-Holland </w:t>
      </w:r>
      <w:sdt>
        <w:sdtPr>
          <w:rPr>
            <w:rFonts w:ascii="Arial" w:hAnsi="Arial" w:cs="Arial"/>
            <w:color w:val="000000" w:themeColor="text1"/>
            <w:sz w:val="24"/>
            <w:szCs w:val="24"/>
          </w:rPr>
          <w:id w:val="-41296029"/>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CITATION Koz11 \n  \t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(2011)</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 xml:space="preserve"> y Seymour &amp; Hussein </w:t>
      </w:r>
      <w:sdt>
        <w:sdtPr>
          <w:rPr>
            <w:rFonts w:ascii="Arial" w:hAnsi="Arial" w:cs="Arial"/>
            <w:color w:val="000000" w:themeColor="text1"/>
            <w:sz w:val="24"/>
            <w:szCs w:val="24"/>
          </w:rPr>
          <w:id w:val="1085883858"/>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CITATION Sym14 \n  \t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(2014)</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 las primeras prácticas de administración de proyectos puede ligarse a la construcción de los grandes monumentos y estructuras arquitectónicas que hoy son acervo mundial. Asimismo, algunos autores vinculan los fundamentos primigenios de la gestión de proyectos a las escuelas de administración de Taylor y Fayol y los estudios de Gantt (Witzel, 2003, citado en Chiu, 2011).</w:t>
      </w:r>
    </w:p>
    <w:p w14:paraId="2EAF175D" w14:textId="77777777" w:rsidR="0093626A" w:rsidRPr="00634580" w:rsidRDefault="00000000" w:rsidP="00634580">
      <w:pPr>
        <w:spacing w:line="360" w:lineRule="auto"/>
        <w:ind w:firstLine="708"/>
        <w:rPr>
          <w:rFonts w:ascii="Arial" w:hAnsi="Arial" w:cs="Arial"/>
          <w:color w:val="000000" w:themeColor="text1"/>
          <w:sz w:val="24"/>
          <w:szCs w:val="24"/>
        </w:rPr>
      </w:pPr>
      <w:r w:rsidRPr="00634580">
        <w:rPr>
          <w:rFonts w:ascii="Arial" w:hAnsi="Arial" w:cs="Arial"/>
          <w:color w:val="000000" w:themeColor="text1"/>
          <w:sz w:val="24"/>
          <w:szCs w:val="24"/>
        </w:rPr>
        <w:t xml:space="preserve">Hacia la década de 1950’s, surge el concepto de Administración de Proyectos con base en los trabajos de la marina estadounidense y con la implementación sistemática de herramientas y técnicas como el Método de Ruta Crítica, la Técnica de Evaluación de Revisión del Programa y la Estructura de Trabajo Desagregada (CPM / PERT / WBS, por sus siglas en inglés) de acuerdo con Snyder &amp; Kline (1987), citados en Kwak </w:t>
      </w:r>
      <w:sdt>
        <w:sdtPr>
          <w:rPr>
            <w:rFonts w:ascii="Arial" w:hAnsi="Arial" w:cs="Arial"/>
            <w:color w:val="000000" w:themeColor="text1"/>
            <w:sz w:val="24"/>
            <w:szCs w:val="24"/>
          </w:rPr>
          <w:id w:val="834885449"/>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CITATION Kwa \n  \t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(2003)</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 xml:space="preserve">.  Hacia la década de 1960’s su </w:t>
      </w:r>
      <w:r w:rsidRPr="00634580">
        <w:rPr>
          <w:rFonts w:ascii="Arial" w:hAnsi="Arial" w:cs="Arial"/>
          <w:color w:val="000000" w:themeColor="text1"/>
          <w:sz w:val="24"/>
          <w:szCs w:val="24"/>
        </w:rPr>
        <w:lastRenderedPageBreak/>
        <w:t xml:space="preserve">formalización se extiende a través de instituciones internacionales como la Asociación Internacional de Administración de Proyectos (IPMA, 2006) y el Instituto de Administración de Proyectos (PMI, 2017) que documentan una serie de estándares considerados bases de conocimiento, mejores prácticas y competencias individuales requeridas en este campo, que además se encargan de certificar a los profesionales de esta disciplina. Aunado a lo anterior, de acuerdo con Seymour &amp; Hussein </w:t>
      </w:r>
      <w:sdt>
        <w:sdtPr>
          <w:rPr>
            <w:rFonts w:ascii="Arial" w:hAnsi="Arial" w:cs="Arial"/>
            <w:color w:val="000000" w:themeColor="text1"/>
            <w:sz w:val="24"/>
            <w:szCs w:val="24"/>
          </w:rPr>
          <w:id w:val="-68818547"/>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CITATION Sym14 \n  \t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(2014)</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 xml:space="preserve"> y Vélez et al. </w:t>
      </w:r>
      <w:sdt>
        <w:sdtPr>
          <w:rPr>
            <w:rFonts w:ascii="Arial" w:hAnsi="Arial" w:cs="Arial"/>
            <w:color w:val="000000" w:themeColor="text1"/>
            <w:sz w:val="24"/>
            <w:szCs w:val="24"/>
          </w:rPr>
          <w:id w:val="288092946"/>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CITATION Vél18 \n  \t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(2018)</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 xml:space="preserve">, empresas e instituciones privadas se unen a la formalización de la disciplina con el desarrollo de modelos y herramientas prácticas. Y recientemente, de acuerdo con Verástegui </w:t>
      </w:r>
      <w:sdt>
        <w:sdtPr>
          <w:rPr>
            <w:rFonts w:ascii="Arial" w:hAnsi="Arial" w:cs="Arial"/>
            <w:color w:val="000000" w:themeColor="text1"/>
            <w:sz w:val="24"/>
            <w:szCs w:val="24"/>
          </w:rPr>
          <w:id w:val="-900365294"/>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CITATION Ver14 \n  \t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(2014)</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 xml:space="preserve">, en la década de 2010’s, la Organización Internacional de Estándares estableció la norma ISO-21500, como un estándar de referencia y consenso mundial, que se fundamenta en los principios de IPMA y PMI para la gestión de proyectos, mas esta norma no ha alcanzado nivel de certificación hasta el momento.  </w:t>
      </w:r>
    </w:p>
    <w:p w14:paraId="0E200E00" w14:textId="77777777" w:rsidR="0093626A" w:rsidRPr="00634580" w:rsidRDefault="00000000" w:rsidP="00634580">
      <w:pPr>
        <w:pStyle w:val="Ttulo3"/>
        <w:spacing w:line="360" w:lineRule="auto"/>
        <w:rPr>
          <w:rFonts w:ascii="Arial" w:hAnsi="Arial" w:cs="Arial"/>
          <w:color w:val="000000" w:themeColor="text1"/>
          <w:sz w:val="24"/>
        </w:rPr>
      </w:pPr>
      <w:r w:rsidRPr="00634580">
        <w:rPr>
          <w:rFonts w:ascii="Arial" w:hAnsi="Arial" w:cs="Arial"/>
          <w:color w:val="000000" w:themeColor="text1"/>
          <w:sz w:val="24"/>
        </w:rPr>
        <w:t>Evolución Teórica y sus Orientaciones Filosóficas</w:t>
      </w:r>
    </w:p>
    <w:p w14:paraId="7EC5C6DA" w14:textId="77777777" w:rsidR="0093626A" w:rsidRPr="00634580" w:rsidRDefault="00000000" w:rsidP="00634580">
      <w:pPr>
        <w:spacing w:line="360" w:lineRule="auto"/>
        <w:rPr>
          <w:rFonts w:ascii="Arial" w:hAnsi="Arial" w:cs="Arial"/>
          <w:color w:val="000000" w:themeColor="text1"/>
          <w:sz w:val="24"/>
          <w:szCs w:val="24"/>
        </w:rPr>
      </w:pPr>
      <w:r w:rsidRPr="00634580">
        <w:rPr>
          <w:rFonts w:ascii="Arial" w:hAnsi="Arial" w:cs="Arial"/>
          <w:color w:val="000000" w:themeColor="text1"/>
          <w:sz w:val="24"/>
          <w:szCs w:val="24"/>
        </w:rPr>
        <w:t xml:space="preserve">El avance sustentado del conocimiento en las disciplinas administrativas, por asequible que sea en su aplicación, se logra a partir de teorías que guían sus principios teórico-prácticos </w:t>
      </w:r>
      <w:sdt>
        <w:sdtPr>
          <w:rPr>
            <w:rFonts w:ascii="Arial" w:hAnsi="Arial" w:cs="Arial"/>
            <w:color w:val="000000" w:themeColor="text1"/>
            <w:sz w:val="24"/>
            <w:szCs w:val="24"/>
          </w:rPr>
          <w:id w:val="-1102645229"/>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 CITATION She17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(Shepaherd &amp; Suddaby, 2017)</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 Dicho lo anterior, antes de analizar la evolución teórica en la disciplina de Administración de Proyectos, es relevante detenerse en el significado de Teoría.</w:t>
      </w:r>
    </w:p>
    <w:p w14:paraId="046A8386" w14:textId="77777777" w:rsidR="0093626A" w:rsidRPr="00634580" w:rsidRDefault="00000000" w:rsidP="00634580">
      <w:pPr>
        <w:spacing w:line="360" w:lineRule="auto"/>
        <w:ind w:firstLine="708"/>
        <w:rPr>
          <w:rFonts w:ascii="Arial" w:hAnsi="Arial" w:cs="Arial"/>
          <w:color w:val="000000" w:themeColor="text1"/>
          <w:sz w:val="24"/>
          <w:szCs w:val="24"/>
        </w:rPr>
      </w:pPr>
      <w:r w:rsidRPr="00634580">
        <w:rPr>
          <w:rFonts w:ascii="Arial" w:hAnsi="Arial" w:cs="Arial"/>
          <w:color w:val="000000" w:themeColor="text1"/>
          <w:sz w:val="24"/>
          <w:szCs w:val="24"/>
        </w:rPr>
        <w:t xml:space="preserve">Bajo la orientación filosófica positivista </w:t>
      </w:r>
      <w:r w:rsidRPr="00634580">
        <w:rPr>
          <w:rFonts w:ascii="Arial" w:hAnsi="Arial" w:cs="Arial"/>
          <w:color w:val="000000" w:themeColor="text1"/>
          <w:sz w:val="24"/>
          <w:szCs w:val="24"/>
        </w:rPr>
        <w:sym w:font="Symbol" w:char="F02D"/>
      </w:r>
      <w:r w:rsidRPr="00634580">
        <w:rPr>
          <w:rFonts w:ascii="Arial" w:hAnsi="Arial" w:cs="Arial"/>
          <w:color w:val="000000" w:themeColor="text1"/>
          <w:sz w:val="24"/>
          <w:szCs w:val="24"/>
        </w:rPr>
        <w:t xml:space="preserve"> el positivismo asume que, tanto en las ciencias sociales como en las naturales, la ciencia debe conformarse con una lógica a partir de la cual se integran principios y creencias comunes a esa área de conocimiento  </w:t>
      </w:r>
      <w:sdt>
        <w:sdtPr>
          <w:rPr>
            <w:rFonts w:ascii="Arial" w:hAnsi="Arial" w:cs="Arial"/>
            <w:color w:val="000000" w:themeColor="text1"/>
            <w:sz w:val="24"/>
            <w:szCs w:val="24"/>
          </w:rPr>
          <w:id w:val="-2133473367"/>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 CITATION Neu14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(Neuman, 2014)</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 xml:space="preserve"> </w:t>
      </w:r>
      <w:r w:rsidRPr="00634580">
        <w:rPr>
          <w:rFonts w:ascii="Arial" w:hAnsi="Arial" w:cs="Arial"/>
          <w:color w:val="000000" w:themeColor="text1"/>
          <w:sz w:val="24"/>
          <w:szCs w:val="24"/>
        </w:rPr>
        <w:sym w:font="Symbol" w:char="F02D"/>
      </w:r>
      <w:r w:rsidRPr="00634580">
        <w:rPr>
          <w:rFonts w:ascii="Arial" w:hAnsi="Arial" w:cs="Arial"/>
          <w:color w:val="000000" w:themeColor="text1"/>
          <w:sz w:val="24"/>
          <w:szCs w:val="24"/>
        </w:rPr>
        <w:t xml:space="preserve"> una Teoría se puede definir como “un conjunto de constructos, definiciones y proposiciones que presentan una visión sistemática de un fenómeno, especificando la relación entre variables, con el propósito de explicarlo y predecirlo” </w:t>
      </w:r>
      <w:sdt>
        <w:sdtPr>
          <w:rPr>
            <w:rFonts w:ascii="Arial" w:hAnsi="Arial" w:cs="Arial"/>
            <w:color w:val="000000" w:themeColor="text1"/>
            <w:sz w:val="24"/>
            <w:szCs w:val="24"/>
          </w:rPr>
          <w:id w:val="1804117274"/>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CITATION Ker73 \p 9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(Kerlinger, 1973, pág. 9)</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w:t>
      </w:r>
    </w:p>
    <w:p w14:paraId="05445592" w14:textId="77777777" w:rsidR="0093626A" w:rsidRPr="00634580" w:rsidRDefault="00000000" w:rsidP="00634580">
      <w:pPr>
        <w:spacing w:line="360" w:lineRule="auto"/>
        <w:ind w:firstLine="708"/>
        <w:rPr>
          <w:rFonts w:ascii="Arial" w:hAnsi="Arial" w:cs="Arial"/>
          <w:color w:val="000000" w:themeColor="text1"/>
          <w:sz w:val="24"/>
          <w:szCs w:val="24"/>
        </w:rPr>
      </w:pPr>
      <w:r w:rsidRPr="00634580">
        <w:rPr>
          <w:rFonts w:ascii="Arial" w:hAnsi="Arial" w:cs="Arial"/>
          <w:color w:val="000000" w:themeColor="text1"/>
          <w:sz w:val="24"/>
          <w:szCs w:val="24"/>
        </w:rPr>
        <w:t xml:space="preserve">Considerando la orientación filosófica del Interpretativismo </w:t>
      </w:r>
      <w:r w:rsidRPr="00634580">
        <w:rPr>
          <w:rFonts w:ascii="Arial" w:hAnsi="Arial" w:cs="Arial"/>
          <w:color w:val="000000" w:themeColor="text1"/>
          <w:sz w:val="24"/>
          <w:szCs w:val="24"/>
        </w:rPr>
        <w:sym w:font="Symbol" w:char="F02D"/>
      </w:r>
      <w:r w:rsidRPr="00634580">
        <w:rPr>
          <w:rFonts w:ascii="Arial" w:hAnsi="Arial" w:cs="Arial"/>
          <w:color w:val="000000" w:themeColor="text1"/>
          <w:sz w:val="24"/>
          <w:szCs w:val="24"/>
        </w:rPr>
        <w:t xml:space="preserve"> el Interpretativismo se fundamenta en “un entendimiento profundo de la experiencia vivida por la gente en contextos históricos específicos” </w:t>
      </w:r>
      <w:sdt>
        <w:sdtPr>
          <w:rPr>
            <w:rFonts w:ascii="Arial" w:hAnsi="Arial" w:cs="Arial"/>
            <w:color w:val="000000" w:themeColor="text1"/>
            <w:sz w:val="24"/>
            <w:szCs w:val="24"/>
          </w:rPr>
          <w:id w:val="965394992"/>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CITATION Neu14 \p 103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(Neuman, 2014, pág. 103)</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 xml:space="preserve"> </w:t>
      </w:r>
      <w:r w:rsidRPr="00634580">
        <w:rPr>
          <w:rFonts w:ascii="Arial" w:hAnsi="Arial" w:cs="Arial"/>
          <w:color w:val="000000" w:themeColor="text1"/>
          <w:sz w:val="24"/>
          <w:szCs w:val="24"/>
        </w:rPr>
        <w:lastRenderedPageBreak/>
        <w:sym w:font="Symbol" w:char="F02D"/>
      </w:r>
      <w:r w:rsidRPr="00634580">
        <w:rPr>
          <w:rFonts w:ascii="Arial" w:hAnsi="Arial" w:cs="Arial"/>
          <w:color w:val="000000" w:themeColor="text1"/>
          <w:sz w:val="24"/>
          <w:szCs w:val="24"/>
        </w:rPr>
        <w:t xml:space="preserve"> la Teoría se encausa hacia proporcionar comprensión profunda de las experiencias vividas, utilizando descripciones e interpretaciones del significado, valores, perspectivas y explicaciones de sucesos o eventos, así como la declaración de procesos organizados y estructurados (Gioia &amp; Pitre, 1990, citados en </w:t>
      </w:r>
      <w:sdt>
        <w:sdtPr>
          <w:rPr>
            <w:rFonts w:ascii="Arial" w:hAnsi="Arial" w:cs="Arial"/>
            <w:color w:val="000000" w:themeColor="text1"/>
            <w:sz w:val="24"/>
            <w:szCs w:val="24"/>
          </w:rPr>
          <w:id w:val="-1424096971"/>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 CITATION Sej21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(Sejvig, 2021)</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w:t>
      </w:r>
    </w:p>
    <w:p w14:paraId="299363C2" w14:textId="77777777" w:rsidR="0093626A" w:rsidRPr="00634580" w:rsidRDefault="00000000" w:rsidP="00634580">
      <w:pPr>
        <w:spacing w:line="360" w:lineRule="auto"/>
        <w:ind w:firstLine="708"/>
        <w:rPr>
          <w:rFonts w:ascii="Arial" w:hAnsi="Arial" w:cs="Arial"/>
          <w:color w:val="000000" w:themeColor="text1"/>
          <w:sz w:val="24"/>
          <w:szCs w:val="24"/>
        </w:rPr>
      </w:pPr>
      <w:r w:rsidRPr="00634580">
        <w:rPr>
          <w:rFonts w:ascii="Arial" w:hAnsi="Arial" w:cs="Arial"/>
          <w:color w:val="000000" w:themeColor="text1"/>
          <w:sz w:val="24"/>
          <w:szCs w:val="24"/>
        </w:rPr>
        <w:t>Una tercera orientación filosófica es el Pragmatismo, que conforme el significado de raíz griega “</w:t>
      </w:r>
      <w:r w:rsidRPr="00634580">
        <w:rPr>
          <w:rFonts w:ascii="Arial" w:hAnsi="Arial" w:cs="Arial"/>
          <w:i/>
          <w:iCs/>
          <w:color w:val="000000" w:themeColor="text1"/>
          <w:sz w:val="24"/>
          <w:szCs w:val="24"/>
        </w:rPr>
        <w:t>pragmata</w:t>
      </w:r>
      <w:r w:rsidRPr="00634580">
        <w:rPr>
          <w:rFonts w:ascii="Arial" w:hAnsi="Arial" w:cs="Arial"/>
          <w:color w:val="000000" w:themeColor="text1"/>
          <w:sz w:val="24"/>
          <w:szCs w:val="24"/>
        </w:rPr>
        <w:t>”, se enfoca en la acción y propone “una interpretación instrumental de las ideas cuyo valor se mide por sus consecuencias concretas hacia la práctica y los hábitos que propicia en la gente (Lalonde et al.,</w:t>
      </w:r>
      <w:sdt>
        <w:sdtPr>
          <w:rPr>
            <w:rFonts w:ascii="Arial" w:hAnsi="Arial" w:cs="Arial"/>
            <w:color w:val="000000" w:themeColor="text1"/>
            <w:sz w:val="24"/>
            <w:szCs w:val="24"/>
          </w:rPr>
          <w:id w:val="528454062"/>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CITATION Lal10 \p 22 \n  \t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 xml:space="preserve"> (2010, pág. 22)</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 Considerando el enfoque pragmático de la filosofía, Teoría significa una descripción o explicación coherente de un fenómeno (Gioia &amp; Pitre, 1990, citados en</w:t>
      </w:r>
      <w:sdt>
        <w:sdtPr>
          <w:rPr>
            <w:rFonts w:ascii="Arial" w:hAnsi="Arial" w:cs="Arial"/>
            <w:color w:val="000000" w:themeColor="text1"/>
            <w:sz w:val="24"/>
            <w:szCs w:val="24"/>
          </w:rPr>
          <w:id w:val="-1033807377"/>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 CITATION Sej21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 xml:space="preserve"> (Sejvig, 2021)</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 xml:space="preserve">. </w:t>
      </w:r>
    </w:p>
    <w:p w14:paraId="1666D947" w14:textId="77777777" w:rsidR="0093626A" w:rsidRPr="00634580" w:rsidRDefault="00000000" w:rsidP="00634580">
      <w:pPr>
        <w:pStyle w:val="Ttulo3"/>
        <w:spacing w:line="360" w:lineRule="auto"/>
        <w:rPr>
          <w:rFonts w:ascii="Arial" w:hAnsi="Arial" w:cs="Arial"/>
          <w:color w:val="000000" w:themeColor="text1"/>
          <w:sz w:val="24"/>
        </w:rPr>
      </w:pPr>
      <w:r w:rsidRPr="00634580">
        <w:rPr>
          <w:rFonts w:ascii="Arial" w:hAnsi="Arial" w:cs="Arial"/>
          <w:color w:val="000000" w:themeColor="text1"/>
          <w:sz w:val="24"/>
        </w:rPr>
        <w:t xml:space="preserve">Tipos de Teoría asociados a la Administración de Proyectos y su relación con enfoques filosóficos </w:t>
      </w:r>
    </w:p>
    <w:p w14:paraId="02AA3D6E" w14:textId="77777777" w:rsidR="0093626A" w:rsidRPr="00634580" w:rsidRDefault="00000000" w:rsidP="00634580">
      <w:pPr>
        <w:spacing w:line="360" w:lineRule="auto"/>
        <w:rPr>
          <w:rFonts w:ascii="Arial" w:hAnsi="Arial" w:cs="Arial"/>
          <w:color w:val="000000" w:themeColor="text1"/>
          <w:sz w:val="24"/>
          <w:szCs w:val="24"/>
        </w:rPr>
      </w:pPr>
      <w:r w:rsidRPr="00634580">
        <w:rPr>
          <w:rFonts w:ascii="Arial" w:hAnsi="Arial" w:cs="Arial"/>
          <w:color w:val="000000" w:themeColor="text1"/>
          <w:sz w:val="24"/>
          <w:szCs w:val="24"/>
        </w:rPr>
        <w:t xml:space="preserve">De acuerdo con el estudio de Sejvig </w:t>
      </w:r>
      <w:sdt>
        <w:sdtPr>
          <w:rPr>
            <w:rFonts w:ascii="Arial" w:hAnsi="Arial" w:cs="Arial"/>
            <w:color w:val="000000" w:themeColor="text1"/>
            <w:sz w:val="24"/>
            <w:szCs w:val="24"/>
          </w:rPr>
          <w:id w:val="-1526244354"/>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CITATION Sej21 \n  \t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(2021)</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 xml:space="preserve">, e investigaciones previas de Neuman </w:t>
      </w:r>
      <w:sdt>
        <w:sdtPr>
          <w:rPr>
            <w:rFonts w:ascii="Arial" w:hAnsi="Arial" w:cs="Arial"/>
            <w:color w:val="000000" w:themeColor="text1"/>
            <w:sz w:val="24"/>
            <w:szCs w:val="24"/>
          </w:rPr>
          <w:id w:val="1939100874"/>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CITATION Neu14 \n  \t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(2014)</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 xml:space="preserve"> y Niknazar &amp; Bourgault </w:t>
      </w:r>
      <w:sdt>
        <w:sdtPr>
          <w:rPr>
            <w:rFonts w:ascii="Arial" w:hAnsi="Arial" w:cs="Arial"/>
            <w:color w:val="000000" w:themeColor="text1"/>
            <w:sz w:val="24"/>
            <w:szCs w:val="24"/>
          </w:rPr>
          <w:id w:val="1006871171"/>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CITATION Nik17 \n  \t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(2017)</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 xml:space="preserve">, existen cuatro tipos de teorías básicas y un tipo combinado </w:t>
      </w:r>
      <w:r w:rsidRPr="00634580">
        <w:rPr>
          <w:rFonts w:ascii="Arial" w:hAnsi="Arial" w:cs="Arial"/>
          <w:color w:val="000000" w:themeColor="text1"/>
          <w:sz w:val="24"/>
          <w:szCs w:val="24"/>
        </w:rPr>
        <w:sym w:font="Symbol" w:char="F02D"/>
      </w:r>
      <w:r w:rsidRPr="00634580">
        <w:rPr>
          <w:rFonts w:ascii="Arial" w:hAnsi="Arial" w:cs="Arial"/>
          <w:color w:val="000000" w:themeColor="text1"/>
          <w:sz w:val="24"/>
          <w:szCs w:val="24"/>
        </w:rPr>
        <w:t xml:space="preserve"> Prescriptiva, Descriptiva, Predictiva, Práctica e Híbrida </w:t>
      </w:r>
      <w:r w:rsidRPr="00634580">
        <w:rPr>
          <w:rFonts w:ascii="Arial" w:hAnsi="Arial" w:cs="Arial"/>
          <w:color w:val="000000" w:themeColor="text1"/>
          <w:sz w:val="24"/>
          <w:szCs w:val="24"/>
        </w:rPr>
        <w:sym w:font="Symbol" w:char="F02D"/>
      </w:r>
      <w:r w:rsidRPr="00634580">
        <w:rPr>
          <w:rFonts w:ascii="Arial" w:hAnsi="Arial" w:cs="Arial"/>
          <w:color w:val="000000" w:themeColor="text1"/>
          <w:sz w:val="24"/>
          <w:szCs w:val="24"/>
        </w:rPr>
        <w:t xml:space="preserve"> a partir de las cuáles se puede analizar el avance en la teorización para la disciplina de Administración de Proyectos.</w:t>
      </w:r>
    </w:p>
    <w:p w14:paraId="5803671F" w14:textId="6B39A726" w:rsidR="0093626A" w:rsidRPr="00634580" w:rsidRDefault="00000000" w:rsidP="00634580">
      <w:pPr>
        <w:spacing w:line="360" w:lineRule="auto"/>
        <w:rPr>
          <w:rFonts w:ascii="Arial" w:hAnsi="Arial" w:cs="Arial"/>
          <w:color w:val="000000" w:themeColor="text1"/>
          <w:sz w:val="24"/>
          <w:szCs w:val="24"/>
        </w:rPr>
      </w:pPr>
      <w:r w:rsidRPr="00634580">
        <w:rPr>
          <w:rFonts w:ascii="Arial" w:hAnsi="Arial" w:cs="Arial"/>
          <w:color w:val="000000" w:themeColor="text1"/>
          <w:sz w:val="24"/>
          <w:szCs w:val="24"/>
        </w:rPr>
        <w:t xml:space="preserve"> </w:t>
      </w:r>
      <w:r w:rsidRPr="00634580">
        <w:rPr>
          <w:rFonts w:ascii="Arial" w:hAnsi="Arial" w:cs="Arial"/>
          <w:b/>
          <w:bCs/>
          <w:color w:val="000000" w:themeColor="text1"/>
          <w:sz w:val="24"/>
          <w:szCs w:val="24"/>
        </w:rPr>
        <w:t>Teoría Prescriptiva.</w:t>
      </w:r>
      <w:r w:rsidRPr="00634580">
        <w:rPr>
          <w:rFonts w:ascii="Arial" w:hAnsi="Arial" w:cs="Arial"/>
          <w:color w:val="000000" w:themeColor="text1"/>
          <w:sz w:val="24"/>
          <w:szCs w:val="24"/>
        </w:rPr>
        <w:t xml:space="preserve"> El término prescriptivo significa la forma de hacer una cosa e implica seguir una especie de norma o patrón implícito para indicar lo que debiera de suceder (Gregor, 2006 y Smyth &amp; Morris, 2007, citados en Sejvig,</w:t>
      </w:r>
      <w:sdt>
        <w:sdtPr>
          <w:rPr>
            <w:rFonts w:ascii="Arial" w:hAnsi="Arial" w:cs="Arial"/>
            <w:color w:val="000000" w:themeColor="text1"/>
            <w:sz w:val="24"/>
            <w:szCs w:val="24"/>
          </w:rPr>
          <w:id w:val="-393436362"/>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CITATION Sej21 \n  \t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 xml:space="preserve"> (2021)</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 xml:space="preserve">. Esta teoría corresponde a la orientación filosófica del Positivismo y el Pragmatismo </w:t>
      </w:r>
      <w:sdt>
        <w:sdtPr>
          <w:rPr>
            <w:rFonts w:ascii="Arial" w:hAnsi="Arial" w:cs="Arial"/>
            <w:color w:val="000000" w:themeColor="text1"/>
            <w:sz w:val="24"/>
            <w:szCs w:val="24"/>
          </w:rPr>
          <w:id w:val="1789388147"/>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 CITATION Sej21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(Sejvig, 2021)</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 xml:space="preserve">. En este sentido, los modelos clásicos y genéricos para planear y controlar los proyectos (diagramas de Gantt, PERT, CPM, WBS) responden a </w:t>
      </w:r>
      <w:r w:rsidR="00B827DF" w:rsidRPr="00B827DF">
        <w:rPr>
          <w:rFonts w:ascii="Arial" w:hAnsi="Arial" w:cs="Arial"/>
          <w:color w:val="000000" w:themeColor="text1"/>
          <w:sz w:val="24"/>
          <w:szCs w:val="24"/>
        </w:rPr>
        <w:t>una conceptualización teórica prescriptiva</w:t>
      </w:r>
      <w:r w:rsidRPr="00634580">
        <w:rPr>
          <w:rFonts w:ascii="Arial" w:hAnsi="Arial" w:cs="Arial"/>
          <w:color w:val="000000" w:themeColor="text1"/>
          <w:sz w:val="24"/>
          <w:szCs w:val="24"/>
        </w:rPr>
        <w:t xml:space="preserve"> (Jacobsson &amp; Söderholm, 2011 y Packendorff, 1995, citados en Sejvig, 2021). </w:t>
      </w:r>
    </w:p>
    <w:p w14:paraId="1597F904" w14:textId="77777777" w:rsidR="0093626A" w:rsidRPr="00634580" w:rsidRDefault="00000000" w:rsidP="00634580">
      <w:pPr>
        <w:spacing w:line="360" w:lineRule="auto"/>
        <w:rPr>
          <w:rFonts w:ascii="Arial" w:hAnsi="Arial" w:cs="Arial"/>
          <w:color w:val="000000" w:themeColor="text1"/>
          <w:sz w:val="24"/>
          <w:szCs w:val="24"/>
        </w:rPr>
      </w:pPr>
      <w:r w:rsidRPr="00634580">
        <w:rPr>
          <w:rFonts w:ascii="Arial" w:hAnsi="Arial" w:cs="Arial"/>
          <w:b/>
          <w:bCs/>
          <w:color w:val="000000" w:themeColor="text1"/>
          <w:sz w:val="24"/>
          <w:szCs w:val="24"/>
        </w:rPr>
        <w:t xml:space="preserve"> Teoría Descriptiva.</w:t>
      </w:r>
      <w:r w:rsidRPr="00634580">
        <w:rPr>
          <w:rFonts w:ascii="Arial" w:hAnsi="Arial" w:cs="Arial"/>
          <w:color w:val="000000" w:themeColor="text1"/>
          <w:sz w:val="24"/>
          <w:szCs w:val="24"/>
        </w:rPr>
        <w:t xml:space="preserve"> Como su nombre lo indica, pretende describir de manera cualitativa, cuantitativa, o ambas, el establecimiento de clasificaciones, </w:t>
      </w:r>
      <w:r w:rsidRPr="00634580">
        <w:rPr>
          <w:rFonts w:ascii="Arial" w:hAnsi="Arial" w:cs="Arial"/>
          <w:color w:val="000000" w:themeColor="text1"/>
          <w:sz w:val="24"/>
          <w:szCs w:val="24"/>
        </w:rPr>
        <w:lastRenderedPageBreak/>
        <w:t xml:space="preserve">taxonomías o tipologías de individuos, grupos, eventos, situaciones o proyectos </w:t>
      </w:r>
      <w:sdt>
        <w:sdtPr>
          <w:rPr>
            <w:rFonts w:ascii="Arial" w:hAnsi="Arial" w:cs="Arial"/>
            <w:color w:val="000000" w:themeColor="text1"/>
            <w:sz w:val="24"/>
            <w:szCs w:val="24"/>
          </w:rPr>
          <w:id w:val="-31185191"/>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 CITATION Neu14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(Neuman, 2014)</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 xml:space="preserve">. La orientación filosófica de este tipo de teoría yace en el Interpretativismo </w:t>
      </w:r>
      <w:sdt>
        <w:sdtPr>
          <w:rPr>
            <w:rFonts w:ascii="Arial" w:hAnsi="Arial" w:cs="Arial"/>
            <w:color w:val="000000" w:themeColor="text1"/>
            <w:sz w:val="24"/>
            <w:szCs w:val="24"/>
          </w:rPr>
          <w:id w:val="-990642493"/>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 CITATION Sej21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(Sejvig, 2021)</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 xml:space="preserve">. En el ámbito de la Administración de Proyectos, cuando los proyectos se conceptualizan como sistemas sociales y con organización temporal, se trata de una teoría descriptiva (Packendorff, 1995, citados en Sejvig, 2021). De acuerdo con Lalonde et al. </w:t>
      </w:r>
      <w:sdt>
        <w:sdtPr>
          <w:rPr>
            <w:rFonts w:ascii="Arial" w:hAnsi="Arial" w:cs="Arial"/>
            <w:color w:val="000000" w:themeColor="text1"/>
            <w:sz w:val="24"/>
            <w:szCs w:val="24"/>
          </w:rPr>
          <w:id w:val="747314079"/>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CITATION Lal10 \n  \t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(2010)</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 los estudios de Administración de Proyectos analizados desde una perspectiva social, como los relacionados con la Escuela Escandinava de Administración de Proyectos, se relacionan con la Teoría Descriptiva.</w:t>
      </w:r>
    </w:p>
    <w:p w14:paraId="0238D663" w14:textId="77777777" w:rsidR="0093626A" w:rsidRPr="00634580" w:rsidRDefault="00000000" w:rsidP="00634580">
      <w:pPr>
        <w:spacing w:line="360" w:lineRule="auto"/>
        <w:rPr>
          <w:rFonts w:ascii="Arial" w:hAnsi="Arial" w:cs="Arial"/>
          <w:color w:val="000000" w:themeColor="text1"/>
          <w:sz w:val="24"/>
          <w:szCs w:val="24"/>
        </w:rPr>
      </w:pPr>
      <w:r w:rsidRPr="00634580">
        <w:rPr>
          <w:rFonts w:ascii="Arial" w:hAnsi="Arial" w:cs="Arial"/>
          <w:color w:val="000000" w:themeColor="text1"/>
          <w:sz w:val="24"/>
          <w:szCs w:val="24"/>
        </w:rPr>
        <w:t xml:space="preserve"> </w:t>
      </w:r>
      <w:r w:rsidRPr="00634580">
        <w:rPr>
          <w:rFonts w:ascii="Arial" w:hAnsi="Arial" w:cs="Arial"/>
          <w:b/>
          <w:bCs/>
          <w:color w:val="000000" w:themeColor="text1"/>
          <w:sz w:val="24"/>
          <w:szCs w:val="24"/>
        </w:rPr>
        <w:t>Teoría Predictiva.</w:t>
      </w:r>
      <w:r w:rsidRPr="00634580">
        <w:rPr>
          <w:rFonts w:ascii="Arial" w:hAnsi="Arial" w:cs="Arial"/>
          <w:color w:val="000000" w:themeColor="text1"/>
          <w:sz w:val="24"/>
          <w:szCs w:val="24"/>
        </w:rPr>
        <w:t xml:space="preserve"> Como el concepto de su nomenclatura, se enfoca en la predicción, de las relaciones entre dos o más conceptos para responder al cuestionamiento básico “qué pasa si” (Fawcett &amp; Downs, 1992, pp. 10, 32–34, citados en Sejvig, 2021) y establece hipótesis con indicadores empíricos que es posible probar (Dubin, 1978, citado en Sejvig, 2021). La orientación filosófica de esta teoría es el Positivismo </w:t>
      </w:r>
      <w:sdt>
        <w:sdtPr>
          <w:rPr>
            <w:rFonts w:ascii="Arial" w:hAnsi="Arial" w:cs="Arial"/>
            <w:color w:val="000000" w:themeColor="text1"/>
            <w:sz w:val="24"/>
            <w:szCs w:val="24"/>
          </w:rPr>
          <w:id w:val="1705138999"/>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 CITATION Sej21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(Sejvig, 2021)</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 xml:space="preserve">. En general en este tipo de teoría se sitúan la mayoría de las disciplinas sociales, de administración y ciencias naturales, cuyos modelos de investigación que llegan a nivel exploratorio y/o confirmatorio. Aquellos modelos de Administración de Proyectos que relacionan los resultados del Proyecto con ciertos factores de la planeación, ejecución o control se allegan a la Teoría Predictiva </w:t>
      </w:r>
      <w:sdt>
        <w:sdtPr>
          <w:rPr>
            <w:rFonts w:ascii="Arial" w:hAnsi="Arial" w:cs="Arial"/>
            <w:color w:val="000000" w:themeColor="text1"/>
            <w:sz w:val="24"/>
            <w:szCs w:val="24"/>
          </w:rPr>
          <w:id w:val="-791594410"/>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 CITATION Sej21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(Sejvig, 2021)</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w:t>
      </w:r>
    </w:p>
    <w:p w14:paraId="598555D3" w14:textId="77777777" w:rsidR="0093626A" w:rsidRPr="00634580" w:rsidRDefault="00000000" w:rsidP="00634580">
      <w:pPr>
        <w:spacing w:line="360" w:lineRule="auto"/>
        <w:rPr>
          <w:rFonts w:ascii="Arial" w:hAnsi="Arial" w:cs="Arial"/>
          <w:color w:val="000000" w:themeColor="text1"/>
          <w:sz w:val="24"/>
          <w:szCs w:val="24"/>
        </w:rPr>
      </w:pPr>
      <w:r w:rsidRPr="00634580">
        <w:rPr>
          <w:rFonts w:ascii="Arial" w:hAnsi="Arial" w:cs="Arial"/>
          <w:b/>
          <w:bCs/>
          <w:color w:val="000000" w:themeColor="text1"/>
          <w:sz w:val="24"/>
          <w:szCs w:val="24"/>
        </w:rPr>
        <w:t>Teoría Práctica.</w:t>
      </w:r>
      <w:r w:rsidRPr="00634580">
        <w:rPr>
          <w:rFonts w:ascii="Arial" w:hAnsi="Arial" w:cs="Arial"/>
          <w:color w:val="000000" w:themeColor="text1"/>
          <w:sz w:val="24"/>
          <w:szCs w:val="24"/>
        </w:rPr>
        <w:t xml:space="preserve"> Se relaciona con la práctica reflexiva y conceptos teóricos situacionales para describir el proceso de un evento o situación en virtud de identificar las acciones situadas en un contexto determinado (Blomquist, et al. 2010, Hällgren &amp; Söderholm, 2011 y Lalonde et al., 2010, citados en Sejvig, 2021). Por supuesto, la orientación filosófica es el Pragmatismo y los casos de estudio de proyectos en situaciones específicas pueden considerarse conceptualizaciones teórico-prácticas </w:t>
      </w:r>
      <w:sdt>
        <w:sdtPr>
          <w:rPr>
            <w:rFonts w:ascii="Arial" w:hAnsi="Arial" w:cs="Arial"/>
            <w:color w:val="000000" w:themeColor="text1"/>
            <w:sz w:val="24"/>
            <w:szCs w:val="24"/>
          </w:rPr>
          <w:id w:val="734586545"/>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 CITATION Sej21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(Sejvig, 2021)</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w:t>
      </w:r>
    </w:p>
    <w:p w14:paraId="6B3A72E4" w14:textId="77777777" w:rsidR="0093626A" w:rsidRPr="00634580" w:rsidRDefault="00000000" w:rsidP="00634580">
      <w:pPr>
        <w:spacing w:line="360" w:lineRule="auto"/>
        <w:rPr>
          <w:rFonts w:ascii="Arial" w:hAnsi="Arial" w:cs="Arial"/>
          <w:color w:val="000000" w:themeColor="text1"/>
          <w:sz w:val="24"/>
          <w:szCs w:val="24"/>
        </w:rPr>
      </w:pPr>
      <w:r w:rsidRPr="00634580">
        <w:rPr>
          <w:rFonts w:ascii="Arial" w:hAnsi="Arial" w:cs="Arial"/>
          <w:b/>
          <w:bCs/>
          <w:color w:val="000000" w:themeColor="text1"/>
          <w:sz w:val="24"/>
          <w:szCs w:val="24"/>
        </w:rPr>
        <w:t>Teoría Híbrida.</w:t>
      </w:r>
      <w:r w:rsidRPr="00634580">
        <w:rPr>
          <w:rFonts w:ascii="Arial" w:hAnsi="Arial" w:cs="Arial"/>
          <w:color w:val="000000" w:themeColor="text1"/>
          <w:sz w:val="24"/>
          <w:szCs w:val="24"/>
        </w:rPr>
        <w:t xml:space="preserve"> Consiste en la combinación de dos o más de los tipos de teorías básicas descritas. Se considera que la teoría híbrida es mejor en cuanto más teorías básicas involucre (DiMaggio, 1995 citado en Sejvig, 2021).</w:t>
      </w:r>
    </w:p>
    <w:p w14:paraId="3C56939B" w14:textId="77777777" w:rsidR="0093626A" w:rsidRPr="00634580" w:rsidRDefault="00000000" w:rsidP="00634580">
      <w:pPr>
        <w:pStyle w:val="Ttulo2"/>
        <w:spacing w:line="360" w:lineRule="auto"/>
        <w:rPr>
          <w:rFonts w:ascii="Arial" w:hAnsi="Arial" w:cs="Arial"/>
          <w:color w:val="000000" w:themeColor="text1"/>
          <w:sz w:val="24"/>
          <w:szCs w:val="24"/>
        </w:rPr>
      </w:pPr>
      <w:r w:rsidRPr="00634580">
        <w:rPr>
          <w:rFonts w:ascii="Arial" w:hAnsi="Arial" w:cs="Arial"/>
          <w:color w:val="000000" w:themeColor="text1"/>
          <w:sz w:val="24"/>
          <w:szCs w:val="24"/>
        </w:rPr>
        <w:lastRenderedPageBreak/>
        <w:t>Definición de Administración de Proyectos y su Relevancia en la Era Actual</w:t>
      </w:r>
    </w:p>
    <w:p w14:paraId="60698809" w14:textId="77777777" w:rsidR="0093626A" w:rsidRPr="00634580" w:rsidRDefault="00000000" w:rsidP="00634580">
      <w:pPr>
        <w:spacing w:line="360" w:lineRule="auto"/>
        <w:rPr>
          <w:rFonts w:ascii="Arial" w:hAnsi="Arial" w:cs="Arial"/>
          <w:color w:val="000000" w:themeColor="text1"/>
          <w:sz w:val="24"/>
          <w:szCs w:val="24"/>
        </w:rPr>
      </w:pPr>
      <w:r w:rsidRPr="00634580">
        <w:rPr>
          <w:rFonts w:ascii="Arial" w:hAnsi="Arial" w:cs="Arial"/>
          <w:color w:val="000000" w:themeColor="text1"/>
          <w:sz w:val="24"/>
          <w:szCs w:val="24"/>
        </w:rPr>
        <w:t xml:space="preserve">De acuerdo con el </w:t>
      </w:r>
      <w:r w:rsidRPr="00634580">
        <w:rPr>
          <w:rFonts w:ascii="Arial" w:hAnsi="Arial" w:cs="Arial"/>
          <w:i/>
          <w:iCs/>
          <w:color w:val="000000" w:themeColor="text1"/>
          <w:sz w:val="24"/>
          <w:szCs w:val="24"/>
        </w:rPr>
        <w:t xml:space="preserve">Project Management Institute </w:t>
      </w:r>
      <w:r w:rsidRPr="00634580">
        <w:rPr>
          <w:rFonts w:ascii="Arial" w:hAnsi="Arial" w:cs="Arial"/>
          <w:color w:val="000000" w:themeColor="text1"/>
          <w:sz w:val="24"/>
          <w:szCs w:val="24"/>
        </w:rPr>
        <w:t xml:space="preserve">[PMI] </w:t>
      </w:r>
      <w:sdt>
        <w:sdtPr>
          <w:rPr>
            <w:rFonts w:ascii="Arial" w:hAnsi="Arial" w:cs="Arial"/>
            <w:color w:val="000000" w:themeColor="text1"/>
            <w:sz w:val="24"/>
            <w:szCs w:val="24"/>
          </w:rPr>
          <w:id w:val="-2091145641"/>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CITATION Pro17 \n  \t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(2017)</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 xml:space="preserve">, es la disciplina administrativa que aplica una serie de procesos enfocados al desarrollo de un proyecto para generar un producto o servicio, o un fin determinado, optimizando la utilización de una serie de recursos tangibles e intangibles. </w:t>
      </w:r>
    </w:p>
    <w:p w14:paraId="4B949C3B" w14:textId="77777777" w:rsidR="0093626A" w:rsidRPr="00634580" w:rsidRDefault="00000000" w:rsidP="00634580">
      <w:pPr>
        <w:spacing w:line="360" w:lineRule="auto"/>
        <w:ind w:firstLine="708"/>
        <w:rPr>
          <w:rFonts w:ascii="Arial" w:hAnsi="Arial" w:cs="Arial"/>
          <w:color w:val="000000" w:themeColor="text1"/>
          <w:sz w:val="24"/>
          <w:szCs w:val="24"/>
        </w:rPr>
      </w:pPr>
      <w:r w:rsidRPr="00634580">
        <w:rPr>
          <w:rFonts w:ascii="Arial" w:hAnsi="Arial" w:cs="Arial"/>
          <w:color w:val="000000" w:themeColor="text1"/>
          <w:sz w:val="24"/>
          <w:szCs w:val="24"/>
        </w:rPr>
        <w:t xml:space="preserve">Para la </w:t>
      </w:r>
      <w:r w:rsidRPr="00634580">
        <w:rPr>
          <w:rFonts w:ascii="Arial" w:hAnsi="Arial" w:cs="Arial"/>
          <w:i/>
          <w:iCs/>
          <w:color w:val="000000" w:themeColor="text1"/>
          <w:sz w:val="24"/>
          <w:szCs w:val="24"/>
        </w:rPr>
        <w:t>International Project Management Association</w:t>
      </w:r>
      <w:r w:rsidRPr="00634580">
        <w:rPr>
          <w:rFonts w:ascii="Arial" w:hAnsi="Arial" w:cs="Arial"/>
          <w:color w:val="000000" w:themeColor="text1"/>
          <w:sz w:val="24"/>
          <w:szCs w:val="24"/>
        </w:rPr>
        <w:t xml:space="preserve"> [IPMA] </w:t>
      </w:r>
      <w:sdt>
        <w:sdtPr>
          <w:rPr>
            <w:rFonts w:ascii="Arial" w:hAnsi="Arial" w:cs="Arial"/>
            <w:color w:val="000000" w:themeColor="text1"/>
            <w:sz w:val="24"/>
            <w:szCs w:val="24"/>
          </w:rPr>
          <w:id w:val="1862780644"/>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CITATION Int06 \n  \t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(2006)</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 la Administración de Proyectos consiste en la planificación, organización, seguimiento y control de todos los aspectos de un proyecto.</w:t>
      </w:r>
    </w:p>
    <w:p w14:paraId="1F3A70E8" w14:textId="77777777" w:rsidR="0093626A" w:rsidRPr="00634580" w:rsidRDefault="00000000" w:rsidP="00634580">
      <w:pPr>
        <w:spacing w:line="360" w:lineRule="auto"/>
        <w:ind w:firstLine="708"/>
        <w:rPr>
          <w:rFonts w:ascii="Arial" w:hAnsi="Arial" w:cs="Arial"/>
          <w:color w:val="000000" w:themeColor="text1"/>
          <w:sz w:val="24"/>
          <w:szCs w:val="24"/>
        </w:rPr>
      </w:pPr>
      <w:r w:rsidRPr="00634580">
        <w:rPr>
          <w:rFonts w:ascii="Arial" w:hAnsi="Arial" w:cs="Arial"/>
          <w:color w:val="000000" w:themeColor="text1"/>
          <w:sz w:val="24"/>
          <w:szCs w:val="24"/>
        </w:rPr>
        <w:t xml:space="preserve">La importancia de los proyectos en las organizaciones se resaltó desde finales del siglo XX por autores como Midler (1995) y Pinto &amp; Kharbanda (1996), citados en Maylor et al. </w:t>
      </w:r>
      <w:sdt>
        <w:sdtPr>
          <w:rPr>
            <w:rFonts w:ascii="Arial" w:hAnsi="Arial" w:cs="Arial"/>
            <w:color w:val="000000" w:themeColor="text1"/>
            <w:sz w:val="24"/>
            <w:szCs w:val="24"/>
          </w:rPr>
          <w:id w:val="1721637944"/>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CITATION May06 \n  \t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(2006)</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 xml:space="preserve">, cuando notaron que, desde una década anterior, la estrategia de las organizaciones empezó a migrar del trabajo basado en operaciones hacia el </w:t>
      </w:r>
      <w:r w:rsidRPr="00634580">
        <w:rPr>
          <w:rFonts w:ascii="Arial" w:hAnsi="Arial" w:cs="Arial"/>
          <w:i/>
          <w:iCs/>
          <w:color w:val="000000" w:themeColor="text1"/>
          <w:sz w:val="24"/>
          <w:szCs w:val="24"/>
        </w:rPr>
        <w:t>Project Management</w:t>
      </w:r>
      <w:r w:rsidRPr="00634580">
        <w:rPr>
          <w:rFonts w:ascii="Arial" w:hAnsi="Arial" w:cs="Arial"/>
          <w:color w:val="000000" w:themeColor="text1"/>
          <w:sz w:val="24"/>
          <w:szCs w:val="24"/>
        </w:rPr>
        <w:t xml:space="preserve"> (PM) y auguraban que en el siglo XXI la administración funcional podría reemplazarse por el PM como “clave para la ventaja competitiva” (pág. 663).</w:t>
      </w:r>
    </w:p>
    <w:p w14:paraId="200A3638" w14:textId="77777777" w:rsidR="0093626A" w:rsidRPr="00634580" w:rsidRDefault="00000000" w:rsidP="00634580">
      <w:pPr>
        <w:pStyle w:val="Ttulo3"/>
        <w:spacing w:line="360" w:lineRule="auto"/>
        <w:rPr>
          <w:rFonts w:ascii="Arial" w:hAnsi="Arial" w:cs="Arial"/>
          <w:color w:val="000000" w:themeColor="text1"/>
          <w:sz w:val="24"/>
        </w:rPr>
      </w:pPr>
      <w:r w:rsidRPr="00634580">
        <w:rPr>
          <w:rFonts w:ascii="Arial" w:hAnsi="Arial" w:cs="Arial"/>
          <w:color w:val="000000" w:themeColor="text1"/>
          <w:sz w:val="24"/>
        </w:rPr>
        <w:t>Los Sectores Project-Based</w:t>
      </w:r>
    </w:p>
    <w:p w14:paraId="42CED630" w14:textId="77777777" w:rsidR="0093626A" w:rsidRPr="00634580" w:rsidRDefault="00000000" w:rsidP="00634580">
      <w:pPr>
        <w:spacing w:line="360" w:lineRule="auto"/>
        <w:rPr>
          <w:rFonts w:ascii="Arial" w:hAnsi="Arial" w:cs="Arial"/>
          <w:color w:val="000000" w:themeColor="text1"/>
          <w:sz w:val="24"/>
          <w:szCs w:val="24"/>
        </w:rPr>
      </w:pPr>
      <w:r w:rsidRPr="00634580">
        <w:rPr>
          <w:rFonts w:ascii="Arial" w:hAnsi="Arial" w:cs="Arial"/>
          <w:color w:val="000000" w:themeColor="text1"/>
          <w:sz w:val="24"/>
          <w:szCs w:val="24"/>
        </w:rPr>
        <w:t xml:space="preserve">Los estudios recientes de Nieto-Rodriguez </w:t>
      </w:r>
      <w:sdt>
        <w:sdtPr>
          <w:rPr>
            <w:rFonts w:ascii="Arial" w:hAnsi="Arial" w:cs="Arial"/>
            <w:color w:val="000000" w:themeColor="text1"/>
            <w:sz w:val="24"/>
            <w:szCs w:val="24"/>
          </w:rPr>
          <w:id w:val="-394285388"/>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CITATION Nie21 \n  \t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(2021)</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 xml:space="preserve"> y Yang et al. </w:t>
      </w:r>
      <w:sdt>
        <w:sdtPr>
          <w:rPr>
            <w:rFonts w:ascii="Arial" w:hAnsi="Arial" w:cs="Arial"/>
            <w:color w:val="000000" w:themeColor="text1"/>
            <w:sz w:val="24"/>
            <w:szCs w:val="24"/>
          </w:rPr>
          <w:id w:val="1589963630"/>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CITATION Yin19 \n  \t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(2019)</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 xml:space="preserve"> avalan que la tendencia de migrar de organizaciones funcionales hacia organizaciones basadas en proyectos o </w:t>
      </w:r>
      <w:r w:rsidRPr="00634580">
        <w:rPr>
          <w:rFonts w:ascii="Arial" w:hAnsi="Arial" w:cs="Arial"/>
          <w:i/>
          <w:iCs/>
          <w:color w:val="000000" w:themeColor="text1"/>
          <w:sz w:val="24"/>
          <w:szCs w:val="24"/>
        </w:rPr>
        <w:t>Project-Based</w:t>
      </w:r>
      <w:r w:rsidRPr="00634580">
        <w:rPr>
          <w:rFonts w:ascii="Arial" w:hAnsi="Arial" w:cs="Arial"/>
          <w:color w:val="000000" w:themeColor="text1"/>
          <w:sz w:val="24"/>
          <w:szCs w:val="24"/>
        </w:rPr>
        <w:t xml:space="preserve"> mantiene un crecimiento acelerado, extendiéndose a múltiples sectores industriales y de servicio. En la actualidad, empresas de diversos sectores industriales, de infraestructura y tecnología, de energías limpias y fósiles, minería, servicios financieros, telecomunicaciones y productos médicos están considerados como </w:t>
      </w:r>
      <w:r w:rsidRPr="00634580">
        <w:rPr>
          <w:rFonts w:ascii="Arial" w:hAnsi="Arial" w:cs="Arial"/>
          <w:i/>
          <w:iCs/>
          <w:color w:val="000000" w:themeColor="text1"/>
          <w:sz w:val="24"/>
          <w:szCs w:val="24"/>
        </w:rPr>
        <w:t>project-based</w:t>
      </w:r>
      <w:r w:rsidRPr="00634580">
        <w:rPr>
          <w:rFonts w:ascii="Arial" w:hAnsi="Arial" w:cs="Arial"/>
          <w:color w:val="000000" w:themeColor="text1"/>
          <w:sz w:val="24"/>
          <w:szCs w:val="24"/>
        </w:rPr>
        <w:t>, es decir, con estructuras organizacionales basadas en proyectos (Brink et al.,</w:t>
      </w:r>
      <w:sdt>
        <w:sdtPr>
          <w:rPr>
            <w:rFonts w:ascii="Arial" w:hAnsi="Arial" w:cs="Arial"/>
            <w:color w:val="000000" w:themeColor="text1"/>
            <w:sz w:val="24"/>
            <w:szCs w:val="24"/>
          </w:rPr>
          <w:id w:val="1539233962"/>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CITATION Bri20 \n  \t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 xml:space="preserve"> (2020)</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 xml:space="preserve">. Lo anterior a razón de que existe gran volatilidad en el entorno económico y empresarial, frente a las disrupciones que causan los enormes cambios tecnológicos como la Inteligencia Artificial y el </w:t>
      </w:r>
      <w:r w:rsidRPr="00634580">
        <w:rPr>
          <w:rFonts w:ascii="Arial" w:hAnsi="Arial" w:cs="Arial"/>
          <w:i/>
          <w:iCs/>
          <w:color w:val="000000" w:themeColor="text1"/>
          <w:sz w:val="24"/>
          <w:szCs w:val="24"/>
        </w:rPr>
        <w:t>Machine Learning</w:t>
      </w:r>
      <w:r w:rsidRPr="00634580">
        <w:rPr>
          <w:rFonts w:ascii="Arial" w:hAnsi="Arial" w:cs="Arial"/>
          <w:color w:val="000000" w:themeColor="text1"/>
          <w:sz w:val="24"/>
          <w:szCs w:val="24"/>
        </w:rPr>
        <w:t xml:space="preserve">, e incluso pandemias como la reciente Covid-19, por lo que el mejor camino de las empresas </w:t>
      </w:r>
      <w:r w:rsidRPr="00634580">
        <w:rPr>
          <w:rFonts w:ascii="Arial" w:hAnsi="Arial" w:cs="Arial"/>
          <w:color w:val="000000" w:themeColor="text1"/>
          <w:sz w:val="24"/>
          <w:szCs w:val="24"/>
        </w:rPr>
        <w:lastRenderedPageBreak/>
        <w:t>para enfrentar los retos, convertirlos en oportunidades y mantener ventajas competitivas es mediante la gestión por proyectos (Nieto-Rodríguez,</w:t>
      </w:r>
      <w:sdt>
        <w:sdtPr>
          <w:rPr>
            <w:rFonts w:ascii="Arial" w:hAnsi="Arial" w:cs="Arial"/>
            <w:color w:val="000000" w:themeColor="text1"/>
            <w:sz w:val="24"/>
            <w:szCs w:val="24"/>
          </w:rPr>
          <w:id w:val="504867125"/>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CITATION Nie211 \n  \t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 xml:space="preserve"> (2021 b)</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w:t>
      </w:r>
    </w:p>
    <w:p w14:paraId="13FBD318" w14:textId="77777777" w:rsidR="0093626A" w:rsidRPr="00634580" w:rsidRDefault="00000000" w:rsidP="00634580">
      <w:pPr>
        <w:pStyle w:val="Ttulo1"/>
        <w:spacing w:line="360" w:lineRule="auto"/>
        <w:rPr>
          <w:rFonts w:ascii="Arial" w:hAnsi="Arial" w:cs="Arial"/>
          <w:color w:val="000000" w:themeColor="text1"/>
          <w:sz w:val="24"/>
          <w:szCs w:val="24"/>
        </w:rPr>
      </w:pPr>
      <w:r w:rsidRPr="00634580">
        <w:rPr>
          <w:rFonts w:ascii="Arial" w:hAnsi="Arial" w:cs="Arial"/>
          <w:color w:val="000000" w:themeColor="text1"/>
          <w:sz w:val="24"/>
          <w:szCs w:val="24"/>
        </w:rPr>
        <w:t>Estado del Arte de la Disciplina</w:t>
      </w:r>
    </w:p>
    <w:p w14:paraId="3EDE0986" w14:textId="77777777" w:rsidR="0093626A" w:rsidRPr="00634580" w:rsidRDefault="00000000" w:rsidP="00634580">
      <w:pPr>
        <w:spacing w:line="360" w:lineRule="auto"/>
        <w:rPr>
          <w:rFonts w:ascii="Arial" w:hAnsi="Arial" w:cs="Arial"/>
          <w:color w:val="000000" w:themeColor="text1"/>
          <w:sz w:val="24"/>
          <w:szCs w:val="24"/>
        </w:rPr>
      </w:pPr>
      <w:r w:rsidRPr="00634580">
        <w:rPr>
          <w:rFonts w:ascii="Arial" w:hAnsi="Arial" w:cs="Arial"/>
          <w:color w:val="000000" w:themeColor="text1"/>
          <w:sz w:val="24"/>
          <w:szCs w:val="24"/>
        </w:rPr>
        <w:t xml:space="preserve">De acuerdo con Sejvig </w:t>
      </w:r>
      <w:sdt>
        <w:sdtPr>
          <w:rPr>
            <w:rFonts w:ascii="Arial" w:hAnsi="Arial" w:cs="Arial"/>
            <w:color w:val="000000" w:themeColor="text1"/>
            <w:sz w:val="24"/>
            <w:szCs w:val="24"/>
          </w:rPr>
          <w:id w:val="425844902"/>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CITATION Sej21 \n  \t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(2021)</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 xml:space="preserve"> la construcción de la teoría fundacional en la disciplina de Administración de Proyectos es indispensable, al igual que en cualquier otra disciplina científica.</w:t>
      </w:r>
    </w:p>
    <w:p w14:paraId="6720304B" w14:textId="77777777" w:rsidR="0093626A" w:rsidRPr="00634580" w:rsidRDefault="00000000" w:rsidP="00634580">
      <w:pPr>
        <w:spacing w:line="360" w:lineRule="auto"/>
        <w:ind w:firstLine="708"/>
        <w:rPr>
          <w:rFonts w:ascii="Arial" w:hAnsi="Arial" w:cs="Arial"/>
          <w:color w:val="000000" w:themeColor="text1"/>
          <w:sz w:val="24"/>
          <w:szCs w:val="24"/>
        </w:rPr>
      </w:pPr>
      <w:r w:rsidRPr="00634580">
        <w:rPr>
          <w:rFonts w:ascii="Arial" w:hAnsi="Arial" w:cs="Arial"/>
          <w:color w:val="000000" w:themeColor="text1"/>
          <w:sz w:val="24"/>
          <w:szCs w:val="24"/>
        </w:rPr>
        <w:t xml:space="preserve">En el mismo sentido, tanto Niknazar &amp; Bourgault </w:t>
      </w:r>
      <w:sdt>
        <w:sdtPr>
          <w:rPr>
            <w:rFonts w:ascii="Arial" w:hAnsi="Arial" w:cs="Arial"/>
            <w:color w:val="000000" w:themeColor="text1"/>
            <w:sz w:val="24"/>
            <w:szCs w:val="24"/>
          </w:rPr>
          <w:id w:val="-1795741869"/>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CITATION Nik17 \n  \t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(2017)</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 xml:space="preserve"> como Sejvig </w:t>
      </w:r>
      <w:sdt>
        <w:sdtPr>
          <w:rPr>
            <w:rFonts w:ascii="Arial" w:hAnsi="Arial" w:cs="Arial"/>
            <w:color w:val="000000" w:themeColor="text1"/>
            <w:sz w:val="24"/>
            <w:szCs w:val="24"/>
          </w:rPr>
          <w:id w:val="-1556700150"/>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CITATION Sej21 \n  \t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(2021)</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 xml:space="preserve">, expresan que existe una gran área de oportunidad para la construcción y contribución teórica a esta disciplina, dado que su desarrollo teórico se encuentra en etapas tempranas. De hecho, desde sus estudios al inicio de la década pasada, Lalonde et al. </w:t>
      </w:r>
      <w:sdt>
        <w:sdtPr>
          <w:rPr>
            <w:rFonts w:ascii="Arial" w:hAnsi="Arial" w:cs="Arial"/>
            <w:color w:val="000000" w:themeColor="text1"/>
            <w:sz w:val="24"/>
            <w:szCs w:val="24"/>
          </w:rPr>
          <w:id w:val="-1702619254"/>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CITATION Lal10 \n  \t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(2010)</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 xml:space="preserve"> en su análisis sobre Administración de Proyectos con una visión práctica, expresaron que, pese a que esta disciplina puede considerarse profesional y científica, aún son escasas las teorías que firmemente sustentan su práctica reflexiva y correspondiente teorización.</w:t>
      </w:r>
    </w:p>
    <w:p w14:paraId="58E9AC8C" w14:textId="77777777" w:rsidR="0093626A" w:rsidRPr="00634580" w:rsidRDefault="00000000" w:rsidP="00634580">
      <w:pPr>
        <w:spacing w:line="360" w:lineRule="auto"/>
        <w:ind w:firstLine="708"/>
        <w:rPr>
          <w:rFonts w:ascii="Arial" w:hAnsi="Arial" w:cs="Arial"/>
          <w:color w:val="000000" w:themeColor="text1"/>
          <w:sz w:val="24"/>
          <w:szCs w:val="24"/>
        </w:rPr>
      </w:pPr>
      <w:r w:rsidRPr="00634580">
        <w:rPr>
          <w:rFonts w:ascii="Arial" w:hAnsi="Arial" w:cs="Arial"/>
          <w:color w:val="000000" w:themeColor="text1"/>
          <w:sz w:val="24"/>
          <w:szCs w:val="24"/>
        </w:rPr>
        <w:t xml:space="preserve">Por ello, a partir de investigaciones de múltiples autores sobre diferentes teorías que fundamentan la Administración de Proyectos, como Artto et al. </w:t>
      </w:r>
      <w:sdt>
        <w:sdtPr>
          <w:rPr>
            <w:rFonts w:ascii="Arial" w:hAnsi="Arial" w:cs="Arial"/>
            <w:color w:val="000000" w:themeColor="text1"/>
            <w:sz w:val="24"/>
            <w:szCs w:val="24"/>
          </w:rPr>
          <w:id w:val="803744328"/>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CITATION Art17 \n  \t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(2017)</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 xml:space="preserve">, Jugdev &amp; Mathur  </w:t>
      </w:r>
      <w:sdt>
        <w:sdtPr>
          <w:rPr>
            <w:rFonts w:ascii="Arial" w:hAnsi="Arial" w:cs="Arial"/>
            <w:color w:val="000000" w:themeColor="text1"/>
            <w:sz w:val="24"/>
            <w:szCs w:val="24"/>
          </w:rPr>
          <w:id w:val="-1233468818"/>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CITATION Jug13 \n  \t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(2013)</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 xml:space="preserve">, Koskela et al. </w:t>
      </w:r>
      <w:sdt>
        <w:sdtPr>
          <w:rPr>
            <w:rFonts w:ascii="Arial" w:hAnsi="Arial" w:cs="Arial"/>
            <w:color w:val="000000" w:themeColor="text1"/>
            <w:sz w:val="24"/>
            <w:szCs w:val="24"/>
          </w:rPr>
          <w:id w:val="2067832879"/>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CITATION Kos06 \n  \t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(2006)</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 xml:space="preserve">, Löwstedt et al. </w:t>
      </w:r>
      <w:sdt>
        <w:sdtPr>
          <w:rPr>
            <w:rFonts w:ascii="Arial" w:hAnsi="Arial" w:cs="Arial"/>
            <w:color w:val="000000" w:themeColor="text1"/>
            <w:sz w:val="24"/>
            <w:szCs w:val="24"/>
          </w:rPr>
          <w:id w:val="-1010522342"/>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CITATION Löw18 \n  \t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(2018)</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 xml:space="preserve">, Mathur et al, </w:t>
      </w:r>
      <w:sdt>
        <w:sdtPr>
          <w:rPr>
            <w:rFonts w:ascii="Arial" w:hAnsi="Arial" w:cs="Arial"/>
            <w:color w:val="000000" w:themeColor="text1"/>
            <w:sz w:val="24"/>
            <w:szCs w:val="24"/>
          </w:rPr>
          <w:id w:val="-738947504"/>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CITATION Mat13 \n  \t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(2013)</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 xml:space="preserve">, Onions </w:t>
      </w:r>
      <w:sdt>
        <w:sdtPr>
          <w:rPr>
            <w:rFonts w:ascii="Arial" w:hAnsi="Arial" w:cs="Arial"/>
            <w:color w:val="000000" w:themeColor="text1"/>
            <w:sz w:val="24"/>
            <w:szCs w:val="24"/>
          </w:rPr>
          <w:id w:val="-15932313"/>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CITATION Oni07 \n  \t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(2007)</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 xml:space="preserve">, Perkins et al. </w:t>
      </w:r>
      <w:sdt>
        <w:sdtPr>
          <w:rPr>
            <w:rFonts w:ascii="Arial" w:hAnsi="Arial" w:cs="Arial"/>
            <w:color w:val="000000" w:themeColor="text1"/>
            <w:sz w:val="24"/>
            <w:szCs w:val="24"/>
          </w:rPr>
          <w:id w:val="-390891394"/>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CITATION Per20 \n  \t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(2020)</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 xml:space="preserve"> y Usher &amp; Whitty  </w:t>
      </w:r>
      <w:sdt>
        <w:sdtPr>
          <w:rPr>
            <w:rFonts w:ascii="Arial" w:hAnsi="Arial" w:cs="Arial"/>
            <w:color w:val="000000" w:themeColor="text1"/>
            <w:sz w:val="24"/>
            <w:szCs w:val="24"/>
          </w:rPr>
          <w:id w:val="-142120028"/>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CITATION Ush17 \n  \t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(2017)</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 se visualizan una variedad de argumentaciones respecto de su bases conceptuales: algunos expresan que esta disciplina adolece de fundamentación teórica específica porque se enfoca sólo a la praxis, mientras que otros tratan de explicar la disciplina desde la teoría de las funciones de la administración establecidas por Fayol, o bien en relación con teorías de administración estratégica o de operaciones; finalmente, hay quienes proponen nuevas conceptualizaciones teóricas sustentadas en otras teorías como la Teoría basada en recursos (</w:t>
      </w:r>
      <w:r w:rsidRPr="00634580">
        <w:rPr>
          <w:rFonts w:ascii="Arial" w:hAnsi="Arial" w:cs="Arial"/>
          <w:i/>
          <w:iCs/>
          <w:color w:val="000000" w:themeColor="text1"/>
          <w:sz w:val="24"/>
          <w:szCs w:val="24"/>
        </w:rPr>
        <w:t>Resource Based View</w:t>
      </w:r>
      <w:r w:rsidRPr="00634580">
        <w:rPr>
          <w:rFonts w:ascii="Arial" w:hAnsi="Arial" w:cs="Arial"/>
          <w:color w:val="000000" w:themeColor="text1"/>
          <w:sz w:val="24"/>
          <w:szCs w:val="24"/>
        </w:rPr>
        <w:t xml:space="preserve">) o la Teoría del Conocimiento por mencionar algunas. </w:t>
      </w:r>
    </w:p>
    <w:p w14:paraId="178D6801" w14:textId="77777777" w:rsidR="0093626A" w:rsidRPr="00634580" w:rsidRDefault="00000000" w:rsidP="00634580">
      <w:pPr>
        <w:spacing w:line="360" w:lineRule="auto"/>
        <w:ind w:firstLine="708"/>
        <w:rPr>
          <w:rFonts w:ascii="Arial" w:hAnsi="Arial" w:cs="Arial"/>
          <w:color w:val="000000" w:themeColor="text1"/>
          <w:sz w:val="24"/>
          <w:szCs w:val="24"/>
        </w:rPr>
      </w:pPr>
      <w:r w:rsidRPr="00634580">
        <w:rPr>
          <w:rFonts w:ascii="Arial" w:hAnsi="Arial" w:cs="Arial"/>
          <w:color w:val="000000" w:themeColor="text1"/>
          <w:sz w:val="24"/>
          <w:szCs w:val="24"/>
        </w:rPr>
        <w:t xml:space="preserve">De acuerdo con Morris </w:t>
      </w:r>
      <w:sdt>
        <w:sdtPr>
          <w:rPr>
            <w:rFonts w:ascii="Arial" w:hAnsi="Arial" w:cs="Arial"/>
            <w:color w:val="000000" w:themeColor="text1"/>
            <w:sz w:val="24"/>
            <w:szCs w:val="24"/>
          </w:rPr>
          <w:id w:val="419683889"/>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CITATION Mor02 \n  \t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(2002)</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 xml:space="preserve">, ante el cuestionamiento que existe desde principios del siglo XXI sobre la existencia de una teoría científica única que fundamente a la Administración de Proyectos, expresa que esta disciplina, como cualquier otra de ámbito social que involucra el factor humano, conlleva a múltiples </w:t>
      </w:r>
      <w:r w:rsidRPr="00634580">
        <w:rPr>
          <w:rFonts w:ascii="Arial" w:hAnsi="Arial" w:cs="Arial"/>
          <w:color w:val="000000" w:themeColor="text1"/>
          <w:sz w:val="24"/>
          <w:szCs w:val="24"/>
        </w:rPr>
        <w:lastRenderedPageBreak/>
        <w:t>variables y un nivel de complejidad difícil de explicar con una sola teoría, como es el caso de ciertas disciplinas de las ciencias exactas; de manera que, la Administración de Proyectos no tiene que restringirse a una sola teoría fundacional, puesto que sus principios pragmáticos pueden derivan de varias teorías en singular o combinadas y nunca con un rigor científico que lleve a la reproducción de experimentos comprobables con los mismos resultados a nivel universal.</w:t>
      </w:r>
    </w:p>
    <w:p w14:paraId="26DBAC7B" w14:textId="77777777" w:rsidR="0093626A" w:rsidRPr="00634580" w:rsidRDefault="00000000" w:rsidP="00634580">
      <w:pPr>
        <w:spacing w:line="360" w:lineRule="auto"/>
        <w:ind w:firstLine="708"/>
        <w:rPr>
          <w:rFonts w:ascii="Arial" w:hAnsi="Arial" w:cs="Arial"/>
          <w:color w:val="000000" w:themeColor="text1"/>
          <w:sz w:val="24"/>
          <w:szCs w:val="24"/>
        </w:rPr>
      </w:pPr>
      <w:r w:rsidRPr="00634580">
        <w:rPr>
          <w:rFonts w:ascii="Arial" w:hAnsi="Arial" w:cs="Arial"/>
          <w:color w:val="000000" w:themeColor="text1"/>
          <w:sz w:val="24"/>
          <w:szCs w:val="24"/>
        </w:rPr>
        <w:t xml:space="preserve">Dicho lo anterior, con base en la revisión de algunos autores destacados que han estudiado y propuesto conceptualizaciones teóricas para explicar y sustentar la Administración de Proyectos, en la Tabla 1 se resumen las principales teorías que se han relacionado con la disciplina, interpretando a partir de las definiciones de </w:t>
      </w:r>
      <w:sdt>
        <w:sdtPr>
          <w:rPr>
            <w:rFonts w:ascii="Arial" w:hAnsi="Arial" w:cs="Arial"/>
            <w:color w:val="000000" w:themeColor="text1"/>
            <w:sz w:val="24"/>
            <w:szCs w:val="24"/>
          </w:rPr>
          <w:id w:val="646240144"/>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 CITATION Sej21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(Sejvig, 2021)</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 el enfoque filosófico y tipo de teoría que puede aplicar en cada caso. Como puede observarse, la mayoría de las teorías es de tipo híbrido, debido a combinar al menos dos de los tipos básicos de teorías.</w:t>
      </w:r>
    </w:p>
    <w:p w14:paraId="5474B46A" w14:textId="77777777" w:rsidR="0093626A" w:rsidRPr="00634580" w:rsidRDefault="00000000" w:rsidP="00634580">
      <w:pPr>
        <w:spacing w:line="360" w:lineRule="auto"/>
        <w:rPr>
          <w:rFonts w:ascii="Arial" w:hAnsi="Arial" w:cs="Arial"/>
          <w:i/>
          <w:iCs/>
          <w:color w:val="000000" w:themeColor="text1"/>
          <w:sz w:val="24"/>
          <w:szCs w:val="24"/>
        </w:rPr>
      </w:pPr>
      <w:r w:rsidRPr="00634580">
        <w:rPr>
          <w:rFonts w:ascii="Arial" w:hAnsi="Arial" w:cs="Arial"/>
          <w:b/>
          <w:bCs/>
          <w:color w:val="000000" w:themeColor="text1"/>
          <w:sz w:val="24"/>
          <w:szCs w:val="24"/>
        </w:rPr>
        <w:t xml:space="preserve">Tabla 1. </w:t>
      </w:r>
      <w:r w:rsidRPr="00634580">
        <w:rPr>
          <w:rFonts w:ascii="Arial" w:hAnsi="Arial" w:cs="Arial"/>
          <w:i/>
          <w:iCs/>
          <w:color w:val="000000" w:themeColor="text1"/>
          <w:sz w:val="24"/>
          <w:szCs w:val="24"/>
        </w:rPr>
        <w:t>Principales Teorías de la Administración de Proyectos</w:t>
      </w:r>
    </w:p>
    <w:tbl>
      <w:tblPr>
        <w:tblStyle w:val="Tablaconcuadrcula"/>
        <w:tblW w:w="0" w:type="auto"/>
        <w:tblLook w:val="04A0" w:firstRow="1" w:lastRow="0" w:firstColumn="1" w:lastColumn="0" w:noHBand="0" w:noVBand="1"/>
      </w:tblPr>
      <w:tblGrid>
        <w:gridCol w:w="1790"/>
        <w:gridCol w:w="1990"/>
        <w:gridCol w:w="3428"/>
        <w:gridCol w:w="1630"/>
      </w:tblGrid>
      <w:tr w:rsidR="00E124A8" w:rsidRPr="00E124A8" w14:paraId="18FCFC0C" w14:textId="77777777">
        <w:trPr>
          <w:trHeight w:val="298"/>
        </w:trPr>
        <w:tc>
          <w:tcPr>
            <w:tcW w:w="1701" w:type="dxa"/>
            <w:tcBorders>
              <w:left w:val="nil"/>
              <w:bottom w:val="single" w:sz="4" w:space="0" w:color="auto"/>
              <w:right w:val="nil"/>
            </w:tcBorders>
          </w:tcPr>
          <w:p w14:paraId="1C3A1629" w14:textId="77777777" w:rsidR="0093626A" w:rsidRPr="00634580" w:rsidRDefault="00000000" w:rsidP="00634580">
            <w:pPr>
              <w:spacing w:line="360" w:lineRule="auto"/>
              <w:jc w:val="center"/>
              <w:rPr>
                <w:rFonts w:ascii="Arial" w:hAnsi="Arial" w:cs="Arial"/>
                <w:b/>
                <w:bCs/>
                <w:color w:val="000000" w:themeColor="text1"/>
                <w:sz w:val="24"/>
                <w:szCs w:val="24"/>
              </w:rPr>
            </w:pPr>
            <w:r w:rsidRPr="00634580">
              <w:rPr>
                <w:rFonts w:ascii="Arial" w:hAnsi="Arial" w:cs="Arial"/>
                <w:b/>
                <w:bCs/>
                <w:color w:val="000000" w:themeColor="text1"/>
                <w:sz w:val="24"/>
                <w:szCs w:val="24"/>
              </w:rPr>
              <w:t xml:space="preserve">Nombre de la Teoría </w:t>
            </w:r>
          </w:p>
        </w:tc>
        <w:tc>
          <w:tcPr>
            <w:tcW w:w="1701" w:type="dxa"/>
            <w:tcBorders>
              <w:left w:val="nil"/>
              <w:bottom w:val="single" w:sz="4" w:space="0" w:color="auto"/>
              <w:right w:val="nil"/>
            </w:tcBorders>
          </w:tcPr>
          <w:p w14:paraId="7B70D997" w14:textId="77777777" w:rsidR="0093626A" w:rsidRPr="00634580" w:rsidRDefault="00000000" w:rsidP="00634580">
            <w:pPr>
              <w:spacing w:line="360" w:lineRule="auto"/>
              <w:jc w:val="center"/>
              <w:rPr>
                <w:rFonts w:ascii="Arial" w:hAnsi="Arial" w:cs="Arial"/>
                <w:b/>
                <w:bCs/>
                <w:color w:val="000000" w:themeColor="text1"/>
                <w:sz w:val="24"/>
                <w:szCs w:val="24"/>
              </w:rPr>
            </w:pPr>
            <w:r w:rsidRPr="00634580">
              <w:rPr>
                <w:rFonts w:ascii="Arial" w:hAnsi="Arial" w:cs="Arial"/>
                <w:b/>
                <w:bCs/>
                <w:color w:val="000000" w:themeColor="text1"/>
                <w:sz w:val="24"/>
                <w:szCs w:val="24"/>
              </w:rPr>
              <w:t>Enfoque Filosófico / Tipo de Teoría</w:t>
            </w:r>
          </w:p>
        </w:tc>
        <w:tc>
          <w:tcPr>
            <w:tcW w:w="3969" w:type="dxa"/>
            <w:tcBorders>
              <w:left w:val="nil"/>
              <w:bottom w:val="single" w:sz="4" w:space="0" w:color="auto"/>
              <w:right w:val="nil"/>
            </w:tcBorders>
          </w:tcPr>
          <w:p w14:paraId="335866A0" w14:textId="77777777" w:rsidR="0093626A" w:rsidRPr="00634580" w:rsidRDefault="00000000" w:rsidP="00634580">
            <w:pPr>
              <w:spacing w:line="360" w:lineRule="auto"/>
              <w:jc w:val="center"/>
              <w:rPr>
                <w:rFonts w:ascii="Arial" w:hAnsi="Arial" w:cs="Arial"/>
                <w:b/>
                <w:bCs/>
                <w:color w:val="000000" w:themeColor="text1"/>
                <w:sz w:val="24"/>
                <w:szCs w:val="24"/>
              </w:rPr>
            </w:pPr>
            <w:r w:rsidRPr="00634580">
              <w:rPr>
                <w:rFonts w:ascii="Arial" w:hAnsi="Arial" w:cs="Arial"/>
                <w:b/>
                <w:bCs/>
                <w:color w:val="000000" w:themeColor="text1"/>
                <w:sz w:val="24"/>
                <w:szCs w:val="24"/>
              </w:rPr>
              <w:t>Noción Básica</w:t>
            </w:r>
          </w:p>
        </w:tc>
        <w:tc>
          <w:tcPr>
            <w:tcW w:w="1467" w:type="dxa"/>
            <w:tcBorders>
              <w:left w:val="nil"/>
              <w:bottom w:val="single" w:sz="4" w:space="0" w:color="auto"/>
              <w:right w:val="nil"/>
            </w:tcBorders>
          </w:tcPr>
          <w:p w14:paraId="6165C9D6" w14:textId="77777777" w:rsidR="0093626A" w:rsidRPr="00634580" w:rsidRDefault="00000000" w:rsidP="00634580">
            <w:pPr>
              <w:spacing w:line="360" w:lineRule="auto"/>
              <w:jc w:val="center"/>
              <w:rPr>
                <w:rFonts w:ascii="Arial" w:hAnsi="Arial" w:cs="Arial"/>
                <w:b/>
                <w:bCs/>
                <w:color w:val="000000" w:themeColor="text1"/>
                <w:sz w:val="24"/>
                <w:szCs w:val="24"/>
              </w:rPr>
            </w:pPr>
            <w:r w:rsidRPr="00634580">
              <w:rPr>
                <w:rFonts w:ascii="Arial" w:hAnsi="Arial" w:cs="Arial"/>
                <w:b/>
                <w:bCs/>
                <w:color w:val="000000" w:themeColor="text1"/>
                <w:sz w:val="24"/>
                <w:szCs w:val="24"/>
              </w:rPr>
              <w:t>Autores consultados</w:t>
            </w:r>
          </w:p>
        </w:tc>
      </w:tr>
      <w:tr w:rsidR="00E124A8" w:rsidRPr="00E124A8" w14:paraId="42F24F73" w14:textId="77777777">
        <w:tc>
          <w:tcPr>
            <w:tcW w:w="1701" w:type="dxa"/>
            <w:tcBorders>
              <w:left w:val="nil"/>
              <w:bottom w:val="nil"/>
              <w:right w:val="nil"/>
            </w:tcBorders>
          </w:tcPr>
          <w:p w14:paraId="3C5E2204" w14:textId="77777777" w:rsidR="0093626A" w:rsidRPr="00634580" w:rsidRDefault="00000000" w:rsidP="00634580">
            <w:pPr>
              <w:spacing w:line="360" w:lineRule="auto"/>
              <w:rPr>
                <w:rFonts w:ascii="Arial" w:hAnsi="Arial" w:cs="Arial"/>
                <w:color w:val="000000" w:themeColor="text1"/>
                <w:sz w:val="24"/>
                <w:szCs w:val="24"/>
              </w:rPr>
            </w:pPr>
            <w:r w:rsidRPr="00634580">
              <w:rPr>
                <w:rFonts w:ascii="Arial" w:hAnsi="Arial" w:cs="Arial"/>
                <w:color w:val="000000" w:themeColor="text1"/>
                <w:sz w:val="24"/>
                <w:szCs w:val="24"/>
              </w:rPr>
              <w:t>Teoría basada en recursos (RBV) - Esquema de Recursos VRIO</w:t>
            </w:r>
          </w:p>
        </w:tc>
        <w:tc>
          <w:tcPr>
            <w:tcW w:w="1701" w:type="dxa"/>
            <w:tcBorders>
              <w:left w:val="nil"/>
              <w:bottom w:val="nil"/>
              <w:right w:val="nil"/>
            </w:tcBorders>
          </w:tcPr>
          <w:p w14:paraId="024BBC23" w14:textId="77777777" w:rsidR="0093626A" w:rsidRPr="00634580" w:rsidRDefault="00000000" w:rsidP="00634580">
            <w:pPr>
              <w:spacing w:line="360" w:lineRule="auto"/>
              <w:rPr>
                <w:rFonts w:ascii="Arial" w:hAnsi="Arial" w:cs="Arial"/>
                <w:color w:val="000000" w:themeColor="text1"/>
                <w:sz w:val="24"/>
                <w:szCs w:val="24"/>
              </w:rPr>
            </w:pPr>
            <w:r w:rsidRPr="00634580">
              <w:rPr>
                <w:rFonts w:ascii="Arial" w:hAnsi="Arial" w:cs="Arial"/>
                <w:color w:val="000000" w:themeColor="text1"/>
                <w:sz w:val="24"/>
                <w:szCs w:val="24"/>
              </w:rPr>
              <w:t>Positivismo y Pragmatismo/ Teoría Híbrida (Predictiva y Práctica)</w:t>
            </w:r>
          </w:p>
          <w:p w14:paraId="2E7D4589" w14:textId="77777777" w:rsidR="0093626A" w:rsidRPr="00634580" w:rsidRDefault="0093626A" w:rsidP="00634580">
            <w:pPr>
              <w:spacing w:line="360" w:lineRule="auto"/>
              <w:rPr>
                <w:rFonts w:ascii="Arial" w:hAnsi="Arial" w:cs="Arial"/>
                <w:color w:val="000000" w:themeColor="text1"/>
                <w:sz w:val="24"/>
                <w:szCs w:val="24"/>
              </w:rPr>
            </w:pPr>
          </w:p>
        </w:tc>
        <w:tc>
          <w:tcPr>
            <w:tcW w:w="3969" w:type="dxa"/>
            <w:tcBorders>
              <w:left w:val="nil"/>
              <w:bottom w:val="nil"/>
              <w:right w:val="nil"/>
            </w:tcBorders>
          </w:tcPr>
          <w:p w14:paraId="16E162CE" w14:textId="77777777" w:rsidR="0093626A" w:rsidRPr="00634580" w:rsidRDefault="00000000" w:rsidP="00634580">
            <w:pPr>
              <w:spacing w:line="360" w:lineRule="auto"/>
              <w:rPr>
                <w:rFonts w:ascii="Arial" w:hAnsi="Arial" w:cs="Arial"/>
                <w:color w:val="000000" w:themeColor="text1"/>
                <w:sz w:val="24"/>
                <w:szCs w:val="24"/>
              </w:rPr>
            </w:pPr>
            <w:r w:rsidRPr="00634580">
              <w:rPr>
                <w:rFonts w:ascii="Arial" w:hAnsi="Arial" w:cs="Arial"/>
                <w:color w:val="000000" w:themeColor="text1"/>
                <w:sz w:val="24"/>
                <w:szCs w:val="24"/>
              </w:rPr>
              <w:t>El desempeño de una empresa está determinado por los recursos que dispone y las fuentes de sus ventajas competitivas que provienen de recursos Valiosos, Raros, Inimitables y Organizacionalmente soportados.</w:t>
            </w:r>
          </w:p>
          <w:p w14:paraId="5F982EA2" w14:textId="77777777" w:rsidR="0093626A" w:rsidRPr="00634580" w:rsidRDefault="0093626A" w:rsidP="00634580">
            <w:pPr>
              <w:spacing w:line="360" w:lineRule="auto"/>
              <w:rPr>
                <w:rFonts w:ascii="Arial" w:hAnsi="Arial" w:cs="Arial"/>
                <w:color w:val="000000" w:themeColor="text1"/>
                <w:sz w:val="24"/>
                <w:szCs w:val="24"/>
              </w:rPr>
            </w:pPr>
          </w:p>
        </w:tc>
        <w:tc>
          <w:tcPr>
            <w:tcW w:w="1467" w:type="dxa"/>
            <w:tcBorders>
              <w:left w:val="nil"/>
              <w:bottom w:val="nil"/>
              <w:right w:val="nil"/>
            </w:tcBorders>
          </w:tcPr>
          <w:p w14:paraId="6C41E6B9" w14:textId="77777777" w:rsidR="0093626A" w:rsidRPr="00634580" w:rsidRDefault="00000000" w:rsidP="00634580">
            <w:pPr>
              <w:spacing w:line="360" w:lineRule="auto"/>
              <w:rPr>
                <w:rFonts w:ascii="Arial" w:hAnsi="Arial" w:cs="Arial"/>
                <w:color w:val="000000" w:themeColor="text1"/>
                <w:sz w:val="24"/>
                <w:szCs w:val="24"/>
                <w:lang w:val="en-US"/>
              </w:rPr>
            </w:pPr>
            <w:bookmarkStart w:id="17" w:name="_Hlk95390610"/>
            <w:r w:rsidRPr="00634580">
              <w:rPr>
                <w:rFonts w:ascii="Arial" w:hAnsi="Arial" w:cs="Arial"/>
                <w:color w:val="000000" w:themeColor="text1"/>
                <w:sz w:val="24"/>
                <w:szCs w:val="24"/>
                <w:lang w:val="en-US"/>
              </w:rPr>
              <w:t>Perkins et al. (2020)</w:t>
            </w:r>
          </w:p>
          <w:p w14:paraId="373D3A4C" w14:textId="77777777" w:rsidR="0093626A" w:rsidRPr="00634580" w:rsidRDefault="00000000" w:rsidP="00634580">
            <w:pPr>
              <w:spacing w:line="360" w:lineRule="auto"/>
              <w:rPr>
                <w:rFonts w:ascii="Arial" w:hAnsi="Arial" w:cs="Arial"/>
                <w:color w:val="000000" w:themeColor="text1"/>
                <w:sz w:val="24"/>
                <w:szCs w:val="24"/>
              </w:rPr>
            </w:pPr>
            <w:r w:rsidRPr="00634580">
              <w:rPr>
                <w:rFonts w:ascii="Arial" w:hAnsi="Arial" w:cs="Arial"/>
                <w:color w:val="000000" w:themeColor="text1"/>
                <w:sz w:val="24"/>
                <w:szCs w:val="24"/>
                <w:lang w:val="en-US"/>
              </w:rPr>
              <w:t xml:space="preserve">Jugdev &amp; Mathur, (2013), Mathur et al. </w:t>
            </w:r>
            <w:r w:rsidRPr="00634580">
              <w:rPr>
                <w:rFonts w:ascii="Arial" w:hAnsi="Arial" w:cs="Arial"/>
                <w:color w:val="000000" w:themeColor="text1"/>
                <w:sz w:val="24"/>
                <w:szCs w:val="24"/>
              </w:rPr>
              <w:t xml:space="preserve">(2013), </w:t>
            </w:r>
            <w:bookmarkEnd w:id="17"/>
          </w:p>
        </w:tc>
      </w:tr>
      <w:tr w:rsidR="00E124A8" w:rsidRPr="00E124A8" w14:paraId="0775A3A0" w14:textId="77777777">
        <w:tc>
          <w:tcPr>
            <w:tcW w:w="1701" w:type="dxa"/>
            <w:tcBorders>
              <w:top w:val="nil"/>
              <w:left w:val="nil"/>
              <w:bottom w:val="nil"/>
              <w:right w:val="nil"/>
            </w:tcBorders>
          </w:tcPr>
          <w:p w14:paraId="64DEC072" w14:textId="77777777" w:rsidR="0093626A" w:rsidRPr="00634580" w:rsidRDefault="0093626A" w:rsidP="00634580">
            <w:pPr>
              <w:spacing w:line="360" w:lineRule="auto"/>
              <w:rPr>
                <w:rFonts w:ascii="Arial" w:hAnsi="Arial" w:cs="Arial"/>
                <w:color w:val="000000" w:themeColor="text1"/>
                <w:sz w:val="24"/>
                <w:szCs w:val="24"/>
              </w:rPr>
            </w:pPr>
          </w:p>
          <w:p w14:paraId="5089D52B" w14:textId="77777777" w:rsidR="0093626A" w:rsidRPr="00634580" w:rsidRDefault="00000000" w:rsidP="00634580">
            <w:pPr>
              <w:spacing w:line="360" w:lineRule="auto"/>
              <w:rPr>
                <w:rFonts w:ascii="Arial" w:hAnsi="Arial" w:cs="Arial"/>
                <w:color w:val="000000" w:themeColor="text1"/>
                <w:sz w:val="24"/>
                <w:szCs w:val="24"/>
              </w:rPr>
            </w:pPr>
            <w:r w:rsidRPr="00634580">
              <w:rPr>
                <w:rFonts w:ascii="Arial" w:hAnsi="Arial" w:cs="Arial"/>
                <w:color w:val="000000" w:themeColor="text1"/>
                <w:sz w:val="24"/>
                <w:szCs w:val="24"/>
              </w:rPr>
              <w:t>Vinculación Estrategia – Adm. De Proyectos</w:t>
            </w:r>
          </w:p>
        </w:tc>
        <w:tc>
          <w:tcPr>
            <w:tcW w:w="1701" w:type="dxa"/>
            <w:tcBorders>
              <w:top w:val="nil"/>
              <w:left w:val="nil"/>
              <w:bottom w:val="nil"/>
              <w:right w:val="nil"/>
            </w:tcBorders>
          </w:tcPr>
          <w:p w14:paraId="52C3A0D8" w14:textId="77777777" w:rsidR="0093626A" w:rsidRPr="00634580" w:rsidRDefault="00000000" w:rsidP="00634580">
            <w:pPr>
              <w:spacing w:line="360" w:lineRule="auto"/>
              <w:rPr>
                <w:rFonts w:ascii="Arial" w:hAnsi="Arial" w:cs="Arial"/>
                <w:color w:val="000000" w:themeColor="text1"/>
                <w:sz w:val="24"/>
                <w:szCs w:val="24"/>
              </w:rPr>
            </w:pPr>
            <w:r w:rsidRPr="00634580">
              <w:rPr>
                <w:rFonts w:ascii="Arial" w:hAnsi="Arial" w:cs="Arial"/>
                <w:color w:val="000000" w:themeColor="text1"/>
                <w:sz w:val="24"/>
                <w:szCs w:val="24"/>
              </w:rPr>
              <w:t>Interpretativismo y Pragmatismo / Teoría Híbrida (Descriptiva y Práctica)</w:t>
            </w:r>
          </w:p>
        </w:tc>
        <w:tc>
          <w:tcPr>
            <w:tcW w:w="3969" w:type="dxa"/>
            <w:tcBorders>
              <w:top w:val="nil"/>
              <w:left w:val="nil"/>
              <w:bottom w:val="nil"/>
              <w:right w:val="nil"/>
            </w:tcBorders>
          </w:tcPr>
          <w:p w14:paraId="35FE7096" w14:textId="77777777" w:rsidR="0093626A" w:rsidRPr="00634580" w:rsidRDefault="00000000" w:rsidP="00634580">
            <w:pPr>
              <w:spacing w:line="360" w:lineRule="auto"/>
              <w:rPr>
                <w:rFonts w:ascii="Arial" w:hAnsi="Arial" w:cs="Arial"/>
                <w:color w:val="000000" w:themeColor="text1"/>
                <w:sz w:val="24"/>
                <w:szCs w:val="24"/>
              </w:rPr>
            </w:pPr>
            <w:r w:rsidRPr="00634580">
              <w:rPr>
                <w:rFonts w:ascii="Arial" w:hAnsi="Arial" w:cs="Arial"/>
                <w:color w:val="000000" w:themeColor="text1"/>
                <w:sz w:val="24"/>
                <w:szCs w:val="24"/>
              </w:rPr>
              <w:t>Debería ser vinculante la definición y actualización de la estrategia con las prácticas de Administración de Proyectos para mejorar los resultados en las organizaciones basadas en proyectos</w:t>
            </w:r>
          </w:p>
          <w:p w14:paraId="7D31F677" w14:textId="77777777" w:rsidR="0093626A" w:rsidRPr="00634580" w:rsidRDefault="0093626A" w:rsidP="00634580">
            <w:pPr>
              <w:spacing w:line="360" w:lineRule="auto"/>
              <w:rPr>
                <w:rFonts w:ascii="Arial" w:hAnsi="Arial" w:cs="Arial"/>
                <w:color w:val="000000" w:themeColor="text1"/>
                <w:sz w:val="24"/>
                <w:szCs w:val="24"/>
              </w:rPr>
            </w:pPr>
          </w:p>
        </w:tc>
        <w:tc>
          <w:tcPr>
            <w:tcW w:w="1467" w:type="dxa"/>
            <w:tcBorders>
              <w:top w:val="nil"/>
              <w:left w:val="nil"/>
              <w:bottom w:val="nil"/>
              <w:right w:val="nil"/>
            </w:tcBorders>
          </w:tcPr>
          <w:p w14:paraId="00C93A7B" w14:textId="77777777" w:rsidR="0093626A" w:rsidRPr="00634580" w:rsidRDefault="0093626A" w:rsidP="00634580">
            <w:pPr>
              <w:spacing w:line="360" w:lineRule="auto"/>
              <w:rPr>
                <w:rFonts w:ascii="Arial" w:hAnsi="Arial" w:cs="Arial"/>
                <w:color w:val="000000" w:themeColor="text1"/>
                <w:sz w:val="24"/>
                <w:szCs w:val="24"/>
              </w:rPr>
            </w:pPr>
          </w:p>
          <w:p w14:paraId="42D52EEA" w14:textId="77777777" w:rsidR="0093626A" w:rsidRPr="00634580" w:rsidRDefault="00000000" w:rsidP="00634580">
            <w:pPr>
              <w:spacing w:line="360" w:lineRule="auto"/>
              <w:rPr>
                <w:rFonts w:ascii="Arial" w:hAnsi="Arial" w:cs="Arial"/>
                <w:color w:val="000000" w:themeColor="text1"/>
                <w:sz w:val="24"/>
                <w:szCs w:val="24"/>
              </w:rPr>
            </w:pPr>
            <w:r w:rsidRPr="00634580">
              <w:rPr>
                <w:rFonts w:ascii="Arial" w:hAnsi="Arial" w:cs="Arial"/>
                <w:color w:val="000000" w:themeColor="text1"/>
                <w:sz w:val="24"/>
                <w:szCs w:val="24"/>
              </w:rPr>
              <w:t>Löwstedt et al. (2018)</w:t>
            </w:r>
          </w:p>
        </w:tc>
      </w:tr>
      <w:tr w:rsidR="00E124A8" w:rsidRPr="00E124A8" w14:paraId="31699C95" w14:textId="77777777">
        <w:tc>
          <w:tcPr>
            <w:tcW w:w="1701" w:type="dxa"/>
            <w:tcBorders>
              <w:top w:val="nil"/>
              <w:left w:val="nil"/>
              <w:bottom w:val="nil"/>
              <w:right w:val="nil"/>
            </w:tcBorders>
          </w:tcPr>
          <w:p w14:paraId="4712DD2F" w14:textId="77777777" w:rsidR="0093626A" w:rsidRPr="00634580" w:rsidRDefault="00000000" w:rsidP="00634580">
            <w:pPr>
              <w:spacing w:line="360" w:lineRule="auto"/>
              <w:rPr>
                <w:rFonts w:ascii="Arial" w:hAnsi="Arial" w:cs="Arial"/>
                <w:color w:val="000000" w:themeColor="text1"/>
                <w:sz w:val="24"/>
                <w:szCs w:val="24"/>
              </w:rPr>
            </w:pPr>
            <w:r w:rsidRPr="00634580">
              <w:rPr>
                <w:rFonts w:ascii="Arial" w:hAnsi="Arial" w:cs="Arial"/>
                <w:color w:val="000000" w:themeColor="text1"/>
                <w:sz w:val="24"/>
                <w:szCs w:val="24"/>
              </w:rPr>
              <w:t xml:space="preserve">Modelo del Estado de Convergencia Final </w:t>
            </w:r>
          </w:p>
        </w:tc>
        <w:tc>
          <w:tcPr>
            <w:tcW w:w="1701" w:type="dxa"/>
            <w:tcBorders>
              <w:top w:val="nil"/>
              <w:left w:val="nil"/>
              <w:bottom w:val="nil"/>
              <w:right w:val="nil"/>
            </w:tcBorders>
          </w:tcPr>
          <w:p w14:paraId="39BC266C" w14:textId="77777777" w:rsidR="0093626A" w:rsidRPr="00634580" w:rsidRDefault="00000000" w:rsidP="00634580">
            <w:pPr>
              <w:spacing w:line="360" w:lineRule="auto"/>
              <w:rPr>
                <w:rFonts w:ascii="Arial" w:hAnsi="Arial" w:cs="Arial"/>
                <w:color w:val="000000" w:themeColor="text1"/>
                <w:sz w:val="24"/>
                <w:szCs w:val="24"/>
              </w:rPr>
            </w:pPr>
            <w:r w:rsidRPr="00634580">
              <w:rPr>
                <w:rFonts w:ascii="Arial" w:hAnsi="Arial" w:cs="Arial"/>
                <w:color w:val="000000" w:themeColor="text1"/>
                <w:sz w:val="24"/>
                <w:szCs w:val="24"/>
              </w:rPr>
              <w:t>Positivismo e Inductivismo / Teoría Híbrida (Prescriptiva y Práctica)</w:t>
            </w:r>
          </w:p>
        </w:tc>
        <w:tc>
          <w:tcPr>
            <w:tcW w:w="3969" w:type="dxa"/>
            <w:tcBorders>
              <w:top w:val="nil"/>
              <w:left w:val="nil"/>
              <w:bottom w:val="nil"/>
              <w:right w:val="nil"/>
            </w:tcBorders>
          </w:tcPr>
          <w:p w14:paraId="021AC89E" w14:textId="77777777" w:rsidR="0093626A" w:rsidRPr="00634580" w:rsidRDefault="00000000" w:rsidP="00634580">
            <w:pPr>
              <w:spacing w:line="360" w:lineRule="auto"/>
              <w:rPr>
                <w:rFonts w:ascii="Arial" w:hAnsi="Arial" w:cs="Arial"/>
                <w:color w:val="000000" w:themeColor="text1"/>
                <w:sz w:val="24"/>
                <w:szCs w:val="24"/>
              </w:rPr>
            </w:pPr>
            <w:r w:rsidRPr="00634580">
              <w:rPr>
                <w:rFonts w:ascii="Arial" w:hAnsi="Arial" w:cs="Arial"/>
                <w:color w:val="000000" w:themeColor="text1"/>
                <w:sz w:val="24"/>
                <w:szCs w:val="24"/>
              </w:rPr>
              <w:t>Modelo dirigido hacia proyectos en entornos complejos, que va más allá de la conceptualización tradicional de la AP, combinando la teoría de administración de la producción, la teoría de la administración estratégica y la teoría de la complejidad.</w:t>
            </w:r>
          </w:p>
          <w:p w14:paraId="588EFE88" w14:textId="77777777" w:rsidR="0093626A" w:rsidRPr="00634580" w:rsidRDefault="0093626A" w:rsidP="00634580">
            <w:pPr>
              <w:spacing w:line="360" w:lineRule="auto"/>
              <w:rPr>
                <w:rFonts w:ascii="Arial" w:hAnsi="Arial" w:cs="Arial"/>
                <w:color w:val="000000" w:themeColor="text1"/>
                <w:sz w:val="24"/>
                <w:szCs w:val="24"/>
              </w:rPr>
            </w:pPr>
          </w:p>
          <w:p w14:paraId="00C79CE6" w14:textId="77777777" w:rsidR="0093626A" w:rsidRPr="00634580" w:rsidRDefault="0093626A" w:rsidP="00634580">
            <w:pPr>
              <w:spacing w:line="360" w:lineRule="auto"/>
              <w:rPr>
                <w:rFonts w:ascii="Arial" w:hAnsi="Arial" w:cs="Arial"/>
                <w:color w:val="000000" w:themeColor="text1"/>
                <w:sz w:val="24"/>
                <w:szCs w:val="24"/>
              </w:rPr>
            </w:pPr>
          </w:p>
        </w:tc>
        <w:tc>
          <w:tcPr>
            <w:tcW w:w="1467" w:type="dxa"/>
            <w:tcBorders>
              <w:top w:val="nil"/>
              <w:left w:val="nil"/>
              <w:bottom w:val="nil"/>
              <w:right w:val="nil"/>
            </w:tcBorders>
          </w:tcPr>
          <w:p w14:paraId="04DAE6D8" w14:textId="77777777" w:rsidR="0093626A" w:rsidRPr="00634580" w:rsidRDefault="0093626A" w:rsidP="00634580">
            <w:pPr>
              <w:spacing w:line="360" w:lineRule="auto"/>
              <w:rPr>
                <w:rFonts w:ascii="Arial" w:hAnsi="Arial" w:cs="Arial"/>
                <w:color w:val="000000" w:themeColor="text1"/>
                <w:sz w:val="24"/>
                <w:szCs w:val="24"/>
              </w:rPr>
            </w:pPr>
          </w:p>
          <w:p w14:paraId="5CD6A44A" w14:textId="77777777" w:rsidR="0093626A" w:rsidRPr="00634580" w:rsidRDefault="00000000" w:rsidP="00634580">
            <w:pPr>
              <w:spacing w:line="360" w:lineRule="auto"/>
              <w:rPr>
                <w:rFonts w:ascii="Arial" w:hAnsi="Arial" w:cs="Arial"/>
                <w:color w:val="000000" w:themeColor="text1"/>
                <w:sz w:val="24"/>
                <w:szCs w:val="24"/>
              </w:rPr>
            </w:pPr>
            <w:r w:rsidRPr="00634580">
              <w:rPr>
                <w:rFonts w:ascii="Arial" w:hAnsi="Arial" w:cs="Arial"/>
                <w:color w:val="000000" w:themeColor="text1"/>
                <w:sz w:val="24"/>
                <w:szCs w:val="24"/>
              </w:rPr>
              <w:t>Usher &amp; Whitty (2017)</w:t>
            </w:r>
          </w:p>
        </w:tc>
      </w:tr>
      <w:tr w:rsidR="00E124A8" w:rsidRPr="00E124A8" w14:paraId="5F7A2B75" w14:textId="77777777">
        <w:tc>
          <w:tcPr>
            <w:tcW w:w="1701" w:type="dxa"/>
            <w:tcBorders>
              <w:top w:val="nil"/>
              <w:left w:val="nil"/>
              <w:bottom w:val="nil"/>
              <w:right w:val="nil"/>
            </w:tcBorders>
          </w:tcPr>
          <w:p w14:paraId="3BA8D7B8" w14:textId="77777777" w:rsidR="0093626A" w:rsidRPr="00634580" w:rsidRDefault="00000000" w:rsidP="00634580">
            <w:pPr>
              <w:spacing w:line="360" w:lineRule="auto"/>
              <w:rPr>
                <w:rFonts w:ascii="Arial" w:hAnsi="Arial" w:cs="Arial"/>
                <w:color w:val="000000" w:themeColor="text1"/>
                <w:sz w:val="24"/>
                <w:szCs w:val="24"/>
              </w:rPr>
            </w:pPr>
            <w:r w:rsidRPr="00634580">
              <w:rPr>
                <w:rFonts w:ascii="Arial" w:hAnsi="Arial" w:cs="Arial"/>
                <w:color w:val="000000" w:themeColor="text1"/>
                <w:sz w:val="24"/>
                <w:szCs w:val="24"/>
              </w:rPr>
              <w:t>Teoría de proyectos basada en el conocimiento</w:t>
            </w:r>
          </w:p>
        </w:tc>
        <w:tc>
          <w:tcPr>
            <w:tcW w:w="1701" w:type="dxa"/>
            <w:tcBorders>
              <w:top w:val="nil"/>
              <w:left w:val="nil"/>
              <w:bottom w:val="nil"/>
              <w:right w:val="nil"/>
            </w:tcBorders>
          </w:tcPr>
          <w:p w14:paraId="576894A5" w14:textId="77777777" w:rsidR="0093626A" w:rsidRPr="00634580" w:rsidRDefault="00000000" w:rsidP="00634580">
            <w:pPr>
              <w:spacing w:line="360" w:lineRule="auto"/>
              <w:rPr>
                <w:rFonts w:ascii="Arial" w:hAnsi="Arial" w:cs="Arial"/>
                <w:color w:val="000000" w:themeColor="text1"/>
                <w:sz w:val="24"/>
                <w:szCs w:val="24"/>
              </w:rPr>
            </w:pPr>
            <w:r w:rsidRPr="00634580">
              <w:rPr>
                <w:rFonts w:ascii="Arial" w:hAnsi="Arial" w:cs="Arial"/>
                <w:color w:val="000000" w:themeColor="text1"/>
                <w:sz w:val="24"/>
                <w:szCs w:val="24"/>
              </w:rPr>
              <w:t>Positivismo y Pragmatismo / Teoría Híbrida (Descriptiva y Práctica)</w:t>
            </w:r>
          </w:p>
        </w:tc>
        <w:tc>
          <w:tcPr>
            <w:tcW w:w="3969" w:type="dxa"/>
            <w:tcBorders>
              <w:top w:val="nil"/>
              <w:left w:val="nil"/>
              <w:bottom w:val="nil"/>
              <w:right w:val="nil"/>
            </w:tcBorders>
          </w:tcPr>
          <w:p w14:paraId="621B5FDF" w14:textId="77777777" w:rsidR="0093626A" w:rsidRPr="00634580" w:rsidRDefault="00000000" w:rsidP="00634580">
            <w:pPr>
              <w:spacing w:line="360" w:lineRule="auto"/>
              <w:rPr>
                <w:rFonts w:ascii="Arial" w:hAnsi="Arial" w:cs="Arial"/>
                <w:color w:val="000000" w:themeColor="text1"/>
                <w:sz w:val="24"/>
                <w:szCs w:val="24"/>
              </w:rPr>
            </w:pPr>
            <w:r w:rsidRPr="00634580">
              <w:rPr>
                <w:rFonts w:ascii="Arial" w:hAnsi="Arial" w:cs="Arial"/>
                <w:color w:val="000000" w:themeColor="text1"/>
                <w:sz w:val="24"/>
                <w:szCs w:val="24"/>
              </w:rPr>
              <w:t>Describe la administración de proyectos en términos de su conocimiento: en el contexto de la era del conocimiento, el conocimiento generado y aplicado en los proyectos que tiene relación positiva con su desempeño.</w:t>
            </w:r>
          </w:p>
          <w:p w14:paraId="4F39D75C" w14:textId="77777777" w:rsidR="0093626A" w:rsidRPr="00634580" w:rsidRDefault="0093626A" w:rsidP="00634580">
            <w:pPr>
              <w:spacing w:line="360" w:lineRule="auto"/>
              <w:rPr>
                <w:rFonts w:ascii="Arial" w:hAnsi="Arial" w:cs="Arial"/>
                <w:color w:val="000000" w:themeColor="text1"/>
                <w:sz w:val="24"/>
                <w:szCs w:val="24"/>
              </w:rPr>
            </w:pPr>
          </w:p>
          <w:p w14:paraId="7907CD18" w14:textId="77777777" w:rsidR="0093626A" w:rsidRPr="00634580" w:rsidRDefault="0093626A" w:rsidP="00634580">
            <w:pPr>
              <w:spacing w:line="360" w:lineRule="auto"/>
              <w:rPr>
                <w:rFonts w:ascii="Arial" w:hAnsi="Arial" w:cs="Arial"/>
                <w:color w:val="000000" w:themeColor="text1"/>
                <w:sz w:val="24"/>
                <w:szCs w:val="24"/>
              </w:rPr>
            </w:pPr>
          </w:p>
        </w:tc>
        <w:tc>
          <w:tcPr>
            <w:tcW w:w="1467" w:type="dxa"/>
            <w:tcBorders>
              <w:top w:val="nil"/>
              <w:left w:val="nil"/>
              <w:bottom w:val="nil"/>
              <w:right w:val="nil"/>
            </w:tcBorders>
          </w:tcPr>
          <w:p w14:paraId="3B540868" w14:textId="77777777" w:rsidR="0093626A" w:rsidRPr="00634580" w:rsidRDefault="0093626A" w:rsidP="00634580">
            <w:pPr>
              <w:spacing w:line="360" w:lineRule="auto"/>
              <w:rPr>
                <w:rFonts w:ascii="Arial" w:hAnsi="Arial" w:cs="Arial"/>
                <w:color w:val="000000" w:themeColor="text1"/>
                <w:sz w:val="24"/>
                <w:szCs w:val="24"/>
              </w:rPr>
            </w:pPr>
          </w:p>
          <w:p w14:paraId="21D34CD5" w14:textId="77777777" w:rsidR="0093626A" w:rsidRPr="00634580" w:rsidRDefault="0093626A" w:rsidP="00634580">
            <w:pPr>
              <w:spacing w:line="360" w:lineRule="auto"/>
              <w:rPr>
                <w:rFonts w:ascii="Arial" w:hAnsi="Arial" w:cs="Arial"/>
                <w:color w:val="000000" w:themeColor="text1"/>
                <w:sz w:val="24"/>
                <w:szCs w:val="24"/>
              </w:rPr>
            </w:pPr>
          </w:p>
          <w:p w14:paraId="4237530F" w14:textId="77777777" w:rsidR="0093626A" w:rsidRPr="00634580" w:rsidRDefault="00000000" w:rsidP="00634580">
            <w:pPr>
              <w:spacing w:line="360" w:lineRule="auto"/>
              <w:rPr>
                <w:rFonts w:ascii="Arial" w:hAnsi="Arial" w:cs="Arial"/>
                <w:color w:val="000000" w:themeColor="text1"/>
                <w:sz w:val="24"/>
                <w:szCs w:val="24"/>
              </w:rPr>
            </w:pPr>
            <w:r w:rsidRPr="00634580">
              <w:rPr>
                <w:rFonts w:ascii="Arial" w:hAnsi="Arial" w:cs="Arial"/>
                <w:color w:val="000000" w:themeColor="text1"/>
                <w:sz w:val="24"/>
                <w:szCs w:val="24"/>
              </w:rPr>
              <w:t>Onions (2007)</w:t>
            </w:r>
          </w:p>
        </w:tc>
      </w:tr>
      <w:tr w:rsidR="00E124A8" w:rsidRPr="00E124A8" w14:paraId="620E5CF2" w14:textId="77777777">
        <w:tc>
          <w:tcPr>
            <w:tcW w:w="1701" w:type="dxa"/>
            <w:tcBorders>
              <w:top w:val="nil"/>
              <w:left w:val="nil"/>
              <w:bottom w:val="nil"/>
              <w:right w:val="nil"/>
            </w:tcBorders>
          </w:tcPr>
          <w:p w14:paraId="6CE20C81" w14:textId="77777777" w:rsidR="0093626A" w:rsidRPr="00634580" w:rsidRDefault="00000000" w:rsidP="00634580">
            <w:pPr>
              <w:spacing w:line="360" w:lineRule="auto"/>
              <w:rPr>
                <w:rFonts w:ascii="Arial" w:hAnsi="Arial" w:cs="Arial"/>
                <w:color w:val="000000" w:themeColor="text1"/>
                <w:sz w:val="24"/>
                <w:szCs w:val="24"/>
              </w:rPr>
            </w:pPr>
            <w:r w:rsidRPr="00634580">
              <w:rPr>
                <w:rFonts w:ascii="Arial" w:hAnsi="Arial" w:cs="Arial"/>
                <w:color w:val="000000" w:themeColor="text1"/>
                <w:sz w:val="24"/>
                <w:szCs w:val="24"/>
              </w:rPr>
              <w:t>Teoría de Administración Basada en Proyecto y Producción</w:t>
            </w:r>
          </w:p>
        </w:tc>
        <w:tc>
          <w:tcPr>
            <w:tcW w:w="1701" w:type="dxa"/>
            <w:tcBorders>
              <w:top w:val="nil"/>
              <w:left w:val="nil"/>
              <w:bottom w:val="nil"/>
              <w:right w:val="nil"/>
            </w:tcBorders>
          </w:tcPr>
          <w:p w14:paraId="3706AB5F" w14:textId="77777777" w:rsidR="0093626A" w:rsidRPr="00634580" w:rsidRDefault="00000000" w:rsidP="00634580">
            <w:pPr>
              <w:spacing w:line="360" w:lineRule="auto"/>
              <w:rPr>
                <w:rFonts w:ascii="Arial" w:hAnsi="Arial" w:cs="Arial"/>
                <w:color w:val="000000" w:themeColor="text1"/>
                <w:sz w:val="24"/>
                <w:szCs w:val="24"/>
              </w:rPr>
            </w:pPr>
            <w:r w:rsidRPr="00634580">
              <w:rPr>
                <w:rFonts w:ascii="Arial" w:hAnsi="Arial" w:cs="Arial"/>
                <w:color w:val="000000" w:themeColor="text1"/>
                <w:sz w:val="24"/>
                <w:szCs w:val="24"/>
              </w:rPr>
              <w:t>Positivismo y Pragmatismo /</w:t>
            </w:r>
          </w:p>
          <w:p w14:paraId="15E934C1" w14:textId="77777777" w:rsidR="0093626A" w:rsidRPr="00634580" w:rsidRDefault="00000000" w:rsidP="00634580">
            <w:pPr>
              <w:spacing w:line="360" w:lineRule="auto"/>
              <w:rPr>
                <w:rFonts w:ascii="Arial" w:hAnsi="Arial" w:cs="Arial"/>
                <w:color w:val="000000" w:themeColor="text1"/>
                <w:sz w:val="24"/>
                <w:szCs w:val="24"/>
              </w:rPr>
            </w:pPr>
            <w:r w:rsidRPr="00634580">
              <w:rPr>
                <w:rFonts w:ascii="Arial" w:hAnsi="Arial" w:cs="Arial"/>
                <w:color w:val="000000" w:themeColor="text1"/>
                <w:sz w:val="24"/>
                <w:szCs w:val="24"/>
              </w:rPr>
              <w:t>Teoría Híbrida (Prescriptiva y Práctica)</w:t>
            </w:r>
          </w:p>
        </w:tc>
        <w:tc>
          <w:tcPr>
            <w:tcW w:w="3969" w:type="dxa"/>
            <w:tcBorders>
              <w:top w:val="nil"/>
              <w:left w:val="nil"/>
              <w:bottom w:val="nil"/>
              <w:right w:val="nil"/>
            </w:tcBorders>
          </w:tcPr>
          <w:p w14:paraId="2E999067" w14:textId="77777777" w:rsidR="0093626A" w:rsidRPr="00634580" w:rsidRDefault="00000000" w:rsidP="00634580">
            <w:pPr>
              <w:spacing w:line="360" w:lineRule="auto"/>
              <w:rPr>
                <w:rFonts w:ascii="Arial" w:hAnsi="Arial" w:cs="Arial"/>
                <w:color w:val="000000" w:themeColor="text1"/>
                <w:sz w:val="24"/>
                <w:szCs w:val="24"/>
              </w:rPr>
            </w:pPr>
            <w:r w:rsidRPr="00634580">
              <w:rPr>
                <w:rFonts w:ascii="Arial" w:hAnsi="Arial" w:cs="Arial"/>
                <w:color w:val="000000" w:themeColor="text1"/>
                <w:sz w:val="24"/>
                <w:szCs w:val="24"/>
              </w:rPr>
              <w:t>La producción es un proceso de transformación de entradas y salidas (teoría del proyecto) y requiere del proceso de planeación-ejecución-control (teoría del proceso administrativo), con la consideración de tiempo, variabilidad y cliente.</w:t>
            </w:r>
          </w:p>
          <w:p w14:paraId="54459369" w14:textId="77777777" w:rsidR="0093626A" w:rsidRPr="00634580" w:rsidRDefault="0093626A" w:rsidP="00634580">
            <w:pPr>
              <w:spacing w:line="360" w:lineRule="auto"/>
              <w:rPr>
                <w:rFonts w:ascii="Arial" w:hAnsi="Arial" w:cs="Arial"/>
                <w:color w:val="000000" w:themeColor="text1"/>
                <w:sz w:val="24"/>
                <w:szCs w:val="24"/>
              </w:rPr>
            </w:pPr>
          </w:p>
          <w:p w14:paraId="0C3514BD" w14:textId="77777777" w:rsidR="0093626A" w:rsidRPr="00634580" w:rsidRDefault="0093626A" w:rsidP="00634580">
            <w:pPr>
              <w:spacing w:line="360" w:lineRule="auto"/>
              <w:rPr>
                <w:rFonts w:ascii="Arial" w:hAnsi="Arial" w:cs="Arial"/>
                <w:color w:val="000000" w:themeColor="text1"/>
                <w:sz w:val="24"/>
                <w:szCs w:val="24"/>
              </w:rPr>
            </w:pPr>
          </w:p>
        </w:tc>
        <w:tc>
          <w:tcPr>
            <w:tcW w:w="1467" w:type="dxa"/>
            <w:tcBorders>
              <w:top w:val="nil"/>
              <w:left w:val="nil"/>
              <w:bottom w:val="nil"/>
              <w:right w:val="nil"/>
            </w:tcBorders>
          </w:tcPr>
          <w:p w14:paraId="6B695838" w14:textId="77777777" w:rsidR="0093626A" w:rsidRPr="00634580" w:rsidRDefault="0093626A" w:rsidP="00634580">
            <w:pPr>
              <w:spacing w:line="360" w:lineRule="auto"/>
              <w:rPr>
                <w:rFonts w:ascii="Arial" w:hAnsi="Arial" w:cs="Arial"/>
                <w:color w:val="000000" w:themeColor="text1"/>
                <w:sz w:val="24"/>
                <w:szCs w:val="24"/>
              </w:rPr>
            </w:pPr>
          </w:p>
          <w:p w14:paraId="436A5A13" w14:textId="77777777" w:rsidR="0093626A" w:rsidRPr="00634580" w:rsidRDefault="00000000" w:rsidP="00634580">
            <w:pPr>
              <w:spacing w:line="360" w:lineRule="auto"/>
              <w:rPr>
                <w:rFonts w:ascii="Arial" w:hAnsi="Arial" w:cs="Arial"/>
                <w:color w:val="000000" w:themeColor="text1"/>
                <w:sz w:val="24"/>
                <w:szCs w:val="24"/>
              </w:rPr>
            </w:pPr>
            <w:r w:rsidRPr="00634580">
              <w:rPr>
                <w:rFonts w:ascii="Arial" w:hAnsi="Arial" w:cs="Arial"/>
                <w:color w:val="000000" w:themeColor="text1"/>
                <w:sz w:val="24"/>
                <w:szCs w:val="24"/>
              </w:rPr>
              <w:t>Koskela, et al. (2006)</w:t>
            </w:r>
          </w:p>
        </w:tc>
      </w:tr>
      <w:tr w:rsidR="00E124A8" w:rsidRPr="00E124A8" w14:paraId="2F5D2EBD" w14:textId="77777777">
        <w:tc>
          <w:tcPr>
            <w:tcW w:w="1701" w:type="dxa"/>
            <w:tcBorders>
              <w:top w:val="nil"/>
              <w:left w:val="nil"/>
              <w:right w:val="nil"/>
            </w:tcBorders>
          </w:tcPr>
          <w:p w14:paraId="5C10AC25" w14:textId="77777777" w:rsidR="0093626A" w:rsidRPr="00634580" w:rsidRDefault="00000000" w:rsidP="00634580">
            <w:pPr>
              <w:spacing w:line="360" w:lineRule="auto"/>
              <w:rPr>
                <w:rFonts w:ascii="Arial" w:hAnsi="Arial" w:cs="Arial"/>
                <w:color w:val="000000" w:themeColor="text1"/>
                <w:sz w:val="24"/>
                <w:szCs w:val="24"/>
              </w:rPr>
            </w:pPr>
            <w:r w:rsidRPr="00634580">
              <w:rPr>
                <w:rFonts w:ascii="Arial" w:hAnsi="Arial" w:cs="Arial"/>
                <w:color w:val="000000" w:themeColor="text1"/>
                <w:sz w:val="24"/>
                <w:szCs w:val="24"/>
              </w:rPr>
              <w:t xml:space="preserve">Modelo de Madurez de la Administración de Proyectos </w:t>
            </w:r>
          </w:p>
        </w:tc>
        <w:tc>
          <w:tcPr>
            <w:tcW w:w="1701" w:type="dxa"/>
            <w:tcBorders>
              <w:top w:val="nil"/>
              <w:left w:val="nil"/>
              <w:right w:val="nil"/>
            </w:tcBorders>
          </w:tcPr>
          <w:p w14:paraId="06A8E76E" w14:textId="77777777" w:rsidR="0093626A" w:rsidRPr="00634580" w:rsidRDefault="00000000" w:rsidP="00634580">
            <w:pPr>
              <w:spacing w:line="360" w:lineRule="auto"/>
              <w:rPr>
                <w:rFonts w:ascii="Arial" w:hAnsi="Arial" w:cs="Arial"/>
                <w:color w:val="000000" w:themeColor="text1"/>
                <w:sz w:val="24"/>
                <w:szCs w:val="24"/>
              </w:rPr>
            </w:pPr>
            <w:r w:rsidRPr="00634580">
              <w:rPr>
                <w:rFonts w:ascii="Arial" w:hAnsi="Arial" w:cs="Arial"/>
                <w:color w:val="000000" w:themeColor="text1"/>
                <w:sz w:val="24"/>
                <w:szCs w:val="24"/>
              </w:rPr>
              <w:t>Positivismo y Pragmatismo /</w:t>
            </w:r>
          </w:p>
          <w:p w14:paraId="18C30E3A" w14:textId="77777777" w:rsidR="0093626A" w:rsidRPr="00634580" w:rsidRDefault="00000000" w:rsidP="00634580">
            <w:pPr>
              <w:spacing w:line="360" w:lineRule="auto"/>
              <w:rPr>
                <w:rFonts w:ascii="Arial" w:hAnsi="Arial" w:cs="Arial"/>
                <w:color w:val="000000" w:themeColor="text1"/>
                <w:sz w:val="24"/>
                <w:szCs w:val="24"/>
              </w:rPr>
            </w:pPr>
            <w:r w:rsidRPr="00634580">
              <w:rPr>
                <w:rFonts w:ascii="Arial" w:hAnsi="Arial" w:cs="Arial"/>
                <w:color w:val="000000" w:themeColor="text1"/>
                <w:sz w:val="24"/>
                <w:szCs w:val="24"/>
              </w:rPr>
              <w:t xml:space="preserve">Teoría Prescriptiva </w:t>
            </w:r>
          </w:p>
        </w:tc>
        <w:tc>
          <w:tcPr>
            <w:tcW w:w="3969" w:type="dxa"/>
            <w:tcBorders>
              <w:top w:val="nil"/>
              <w:left w:val="nil"/>
              <w:right w:val="nil"/>
            </w:tcBorders>
          </w:tcPr>
          <w:p w14:paraId="0E058171" w14:textId="77777777" w:rsidR="0093626A" w:rsidRPr="00634580" w:rsidRDefault="00000000" w:rsidP="00634580">
            <w:pPr>
              <w:spacing w:line="360" w:lineRule="auto"/>
              <w:rPr>
                <w:rFonts w:ascii="Arial" w:hAnsi="Arial" w:cs="Arial"/>
                <w:color w:val="000000" w:themeColor="text1"/>
                <w:sz w:val="24"/>
                <w:szCs w:val="24"/>
              </w:rPr>
            </w:pPr>
            <w:r w:rsidRPr="00634580">
              <w:rPr>
                <w:rFonts w:ascii="Arial" w:hAnsi="Arial" w:cs="Arial"/>
                <w:color w:val="000000" w:themeColor="text1"/>
                <w:sz w:val="24"/>
                <w:szCs w:val="24"/>
              </w:rPr>
              <w:t>La administración de proyectos evoluciona a través de 5 etapas subsecuentes que incrementalmente mejoran la gestión: 1) Proceso Inicial, 2) Procesos y Estándares Estructurados, 3) Estándares Organizacionales y Procesos Institucionalizados, 4) Procesos Administrados, 5) Procesos Optimizados</w:t>
            </w:r>
          </w:p>
        </w:tc>
        <w:tc>
          <w:tcPr>
            <w:tcW w:w="1467" w:type="dxa"/>
            <w:tcBorders>
              <w:top w:val="nil"/>
              <w:left w:val="nil"/>
              <w:right w:val="nil"/>
            </w:tcBorders>
          </w:tcPr>
          <w:p w14:paraId="044392A3" w14:textId="77777777" w:rsidR="0093626A" w:rsidRPr="00634580" w:rsidRDefault="00000000" w:rsidP="00634580">
            <w:pPr>
              <w:spacing w:line="360" w:lineRule="auto"/>
              <w:rPr>
                <w:rFonts w:ascii="Arial" w:hAnsi="Arial" w:cs="Arial"/>
                <w:color w:val="000000" w:themeColor="text1"/>
                <w:sz w:val="24"/>
                <w:szCs w:val="24"/>
              </w:rPr>
            </w:pPr>
            <w:r w:rsidRPr="00634580">
              <w:rPr>
                <w:rFonts w:ascii="Arial" w:hAnsi="Arial" w:cs="Arial"/>
                <w:color w:val="000000" w:themeColor="text1"/>
                <w:sz w:val="24"/>
                <w:szCs w:val="24"/>
              </w:rPr>
              <w:t>Carnegie-Mellon (2002) y Pennypacker (2001)</w:t>
            </w:r>
          </w:p>
        </w:tc>
      </w:tr>
    </w:tbl>
    <w:p w14:paraId="24D6D2FE" w14:textId="77777777" w:rsidR="0093626A" w:rsidRPr="00634580" w:rsidRDefault="00000000" w:rsidP="00634580">
      <w:pPr>
        <w:pStyle w:val="NotaTablaofigura"/>
        <w:spacing w:line="360" w:lineRule="auto"/>
        <w:rPr>
          <w:rFonts w:ascii="Arial" w:hAnsi="Arial"/>
          <w:color w:val="000000" w:themeColor="text1"/>
        </w:rPr>
      </w:pPr>
      <w:r w:rsidRPr="00634580">
        <w:rPr>
          <w:rFonts w:ascii="Arial" w:hAnsi="Arial"/>
          <w:color w:val="000000" w:themeColor="text1"/>
        </w:rPr>
        <w:t xml:space="preserve">Fuente: Elaboración propia con base en autores citados y conceptos de Sejvig </w:t>
      </w:r>
      <w:sdt>
        <w:sdtPr>
          <w:rPr>
            <w:rFonts w:ascii="Arial" w:hAnsi="Arial"/>
            <w:color w:val="000000" w:themeColor="text1"/>
          </w:rPr>
          <w:id w:val="380365392"/>
        </w:sdtPr>
        <w:sdtContent>
          <w:r w:rsidRPr="00634580">
            <w:rPr>
              <w:rFonts w:ascii="Arial" w:hAnsi="Arial"/>
              <w:color w:val="000000" w:themeColor="text1"/>
            </w:rPr>
            <w:fldChar w:fldCharType="begin"/>
          </w:r>
          <w:r w:rsidRPr="00634580">
            <w:rPr>
              <w:rFonts w:ascii="Arial" w:hAnsi="Arial"/>
              <w:color w:val="000000" w:themeColor="text1"/>
            </w:rPr>
            <w:instrText xml:space="preserve">CITATION Sej21 \n  \t  \l 2058 </w:instrText>
          </w:r>
          <w:r w:rsidRPr="00634580">
            <w:rPr>
              <w:rFonts w:ascii="Arial" w:hAnsi="Arial"/>
              <w:color w:val="000000" w:themeColor="text1"/>
            </w:rPr>
            <w:fldChar w:fldCharType="separate"/>
          </w:r>
          <w:r w:rsidRPr="00634580">
            <w:rPr>
              <w:rFonts w:ascii="Arial" w:hAnsi="Arial"/>
              <w:color w:val="000000" w:themeColor="text1"/>
            </w:rPr>
            <w:t>(2021)</w:t>
          </w:r>
          <w:r w:rsidRPr="00634580">
            <w:rPr>
              <w:rFonts w:ascii="Arial" w:hAnsi="Arial"/>
              <w:color w:val="000000" w:themeColor="text1"/>
            </w:rPr>
            <w:fldChar w:fldCharType="end"/>
          </w:r>
        </w:sdtContent>
      </w:sdt>
      <w:r w:rsidRPr="00634580">
        <w:rPr>
          <w:rFonts w:ascii="Arial" w:hAnsi="Arial"/>
          <w:color w:val="000000" w:themeColor="text1"/>
        </w:rPr>
        <w:t>.</w:t>
      </w:r>
    </w:p>
    <w:p w14:paraId="606914F1" w14:textId="77777777" w:rsidR="0093626A" w:rsidRPr="00634580" w:rsidRDefault="00000000" w:rsidP="00634580">
      <w:pPr>
        <w:pStyle w:val="Ttulo2"/>
        <w:spacing w:line="360" w:lineRule="auto"/>
        <w:rPr>
          <w:rFonts w:ascii="Arial" w:hAnsi="Arial" w:cs="Arial"/>
          <w:color w:val="000000" w:themeColor="text1"/>
          <w:sz w:val="24"/>
          <w:szCs w:val="24"/>
        </w:rPr>
      </w:pPr>
      <w:r w:rsidRPr="00634580">
        <w:rPr>
          <w:rFonts w:ascii="Arial" w:hAnsi="Arial" w:cs="Arial"/>
          <w:color w:val="000000" w:themeColor="text1"/>
          <w:sz w:val="24"/>
          <w:szCs w:val="24"/>
        </w:rPr>
        <w:lastRenderedPageBreak/>
        <w:t>Perspectiva Empírica más reciente desde el Esquema VRIO</w:t>
      </w:r>
    </w:p>
    <w:p w14:paraId="3A554402" w14:textId="77777777" w:rsidR="0093626A" w:rsidRPr="00634580" w:rsidRDefault="00000000" w:rsidP="00634580">
      <w:pPr>
        <w:spacing w:line="360" w:lineRule="auto"/>
        <w:rPr>
          <w:rFonts w:ascii="Arial" w:hAnsi="Arial" w:cs="Arial"/>
          <w:color w:val="000000" w:themeColor="text1"/>
          <w:sz w:val="24"/>
          <w:szCs w:val="24"/>
        </w:rPr>
      </w:pPr>
      <w:r w:rsidRPr="00634580">
        <w:rPr>
          <w:rFonts w:ascii="Arial" w:hAnsi="Arial" w:cs="Arial"/>
          <w:color w:val="000000" w:themeColor="text1"/>
          <w:sz w:val="24"/>
          <w:szCs w:val="24"/>
        </w:rPr>
        <w:t xml:space="preserve">En la última década existen varios estudios empíricos cuantitativos a partir de los cuáles se han establecido constructos de investigación para analizar y medir la Gestión de Proyectos. Uno de los enfoques más recientes para los estudios empíricos de la Administración de proyectos se ha desarrollado con fundamentos de la Teoría Basada en los Recursos de la Empresa </w:t>
      </w:r>
      <w:r w:rsidRPr="00634580">
        <w:rPr>
          <w:rFonts w:ascii="Arial" w:hAnsi="Arial" w:cs="Arial"/>
          <w:color w:val="000000" w:themeColor="text1"/>
          <w:sz w:val="24"/>
          <w:szCs w:val="24"/>
        </w:rPr>
        <w:sym w:font="Symbol" w:char="F02D"/>
      </w:r>
      <w:r w:rsidRPr="00634580">
        <w:rPr>
          <w:rFonts w:ascii="Arial" w:hAnsi="Arial" w:cs="Arial"/>
          <w:color w:val="000000" w:themeColor="text1"/>
          <w:sz w:val="24"/>
          <w:szCs w:val="24"/>
        </w:rPr>
        <w:t xml:space="preserve"> </w:t>
      </w:r>
      <w:r w:rsidRPr="00634580">
        <w:rPr>
          <w:rFonts w:ascii="Arial" w:hAnsi="Arial" w:cs="Arial"/>
          <w:i/>
          <w:iCs/>
          <w:color w:val="000000" w:themeColor="text1"/>
          <w:sz w:val="24"/>
          <w:szCs w:val="24"/>
        </w:rPr>
        <w:t xml:space="preserve">Resource-Based View of the Firm (RBV) </w:t>
      </w:r>
      <w:r w:rsidRPr="00634580">
        <w:rPr>
          <w:rFonts w:ascii="Arial" w:hAnsi="Arial" w:cs="Arial"/>
          <w:color w:val="000000" w:themeColor="text1"/>
          <w:sz w:val="24"/>
          <w:szCs w:val="24"/>
        </w:rPr>
        <w:t xml:space="preserve">, que examina la ventaja competitiva de la empresa en relación con los activos tangibles e intangibles que posee </w:t>
      </w:r>
      <w:r w:rsidRPr="00634580">
        <w:rPr>
          <w:rFonts w:ascii="Arial" w:hAnsi="Arial" w:cs="Arial"/>
          <w:color w:val="000000" w:themeColor="text1"/>
          <w:sz w:val="24"/>
          <w:szCs w:val="24"/>
        </w:rPr>
        <w:sym w:font="Symbol" w:char="F02D"/>
      </w:r>
      <w:r w:rsidRPr="00634580">
        <w:rPr>
          <w:rFonts w:ascii="Arial" w:hAnsi="Arial" w:cs="Arial"/>
          <w:color w:val="000000" w:themeColor="text1"/>
          <w:sz w:val="24"/>
          <w:szCs w:val="24"/>
        </w:rPr>
        <w:t xml:space="preserve"> y combina con el Enfoque de los Recursos Valiosos, Raros, Inimitables y Organizacionalmente Sustentados (</w:t>
      </w:r>
      <w:r w:rsidRPr="00634580">
        <w:rPr>
          <w:rFonts w:ascii="Arial" w:hAnsi="Arial" w:cs="Arial"/>
          <w:i/>
          <w:iCs/>
          <w:color w:val="000000" w:themeColor="text1"/>
          <w:sz w:val="24"/>
          <w:szCs w:val="24"/>
        </w:rPr>
        <w:t>VRIO</w:t>
      </w:r>
      <w:r w:rsidRPr="00634580">
        <w:rPr>
          <w:rFonts w:ascii="Arial" w:hAnsi="Arial" w:cs="Arial"/>
          <w:color w:val="000000" w:themeColor="text1"/>
          <w:sz w:val="24"/>
          <w:szCs w:val="24"/>
        </w:rPr>
        <w:t xml:space="preserve">) de Barney que, de acuerdo con Reynolds (1971) citado en </w:t>
      </w:r>
      <w:sdt>
        <w:sdtPr>
          <w:rPr>
            <w:rFonts w:ascii="Arial" w:hAnsi="Arial" w:cs="Arial"/>
            <w:color w:val="000000" w:themeColor="text1"/>
            <w:sz w:val="24"/>
            <w:szCs w:val="24"/>
          </w:rPr>
          <w:id w:val="-1409676440"/>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CITATION Jug04 \t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(Jugdev, 2004)</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 xml:space="preserve">, es una variación paradigmática de la Teoría </w:t>
      </w:r>
      <w:r w:rsidRPr="00634580">
        <w:rPr>
          <w:rFonts w:ascii="Arial" w:hAnsi="Arial" w:cs="Arial"/>
          <w:i/>
          <w:iCs/>
          <w:color w:val="000000" w:themeColor="text1"/>
          <w:sz w:val="24"/>
          <w:szCs w:val="24"/>
        </w:rPr>
        <w:t>RBV</w:t>
      </w:r>
      <w:r w:rsidRPr="00634580">
        <w:rPr>
          <w:rFonts w:ascii="Arial" w:hAnsi="Arial" w:cs="Arial"/>
          <w:color w:val="000000" w:themeColor="text1"/>
          <w:sz w:val="24"/>
          <w:szCs w:val="24"/>
        </w:rPr>
        <w:t xml:space="preserve"> donde se profundiza en la contribución y características de los activos de la empresa.  </w:t>
      </w:r>
    </w:p>
    <w:p w14:paraId="741ECE20" w14:textId="77777777" w:rsidR="0093626A" w:rsidRPr="00634580" w:rsidRDefault="00000000" w:rsidP="00634580">
      <w:pPr>
        <w:spacing w:line="360" w:lineRule="auto"/>
        <w:ind w:firstLine="708"/>
        <w:rPr>
          <w:rFonts w:ascii="Arial" w:hAnsi="Arial" w:cs="Arial"/>
          <w:color w:val="000000" w:themeColor="text1"/>
          <w:sz w:val="24"/>
          <w:szCs w:val="24"/>
        </w:rPr>
      </w:pPr>
      <w:r w:rsidRPr="00634580">
        <w:rPr>
          <w:rFonts w:ascii="Arial" w:hAnsi="Arial" w:cs="Arial"/>
          <w:color w:val="000000" w:themeColor="text1"/>
          <w:sz w:val="24"/>
          <w:szCs w:val="24"/>
        </w:rPr>
        <w:t xml:space="preserve">Esta conceptualización teórica evoluciona, con los estudios de Judgev &amp; Mathur </w:t>
      </w:r>
      <w:sdt>
        <w:sdtPr>
          <w:rPr>
            <w:rFonts w:ascii="Arial" w:hAnsi="Arial" w:cs="Arial"/>
            <w:color w:val="000000" w:themeColor="text1"/>
            <w:sz w:val="24"/>
            <w:szCs w:val="24"/>
          </w:rPr>
          <w:id w:val="-1748564877"/>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CITATION Jud06 \n  \t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(2006)</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 xml:space="preserve">, Jugdev et al. </w:t>
      </w:r>
      <w:sdt>
        <w:sdtPr>
          <w:rPr>
            <w:rFonts w:ascii="Arial" w:hAnsi="Arial" w:cs="Arial"/>
            <w:color w:val="000000" w:themeColor="text1"/>
            <w:sz w:val="24"/>
            <w:szCs w:val="24"/>
          </w:rPr>
          <w:id w:val="-1485928808"/>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CITATION Jug07 \n  \t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(2007)</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 xml:space="preserve"> y Mathur et al. </w:t>
      </w:r>
      <w:sdt>
        <w:sdtPr>
          <w:rPr>
            <w:rFonts w:ascii="Arial" w:hAnsi="Arial" w:cs="Arial"/>
            <w:color w:val="000000" w:themeColor="text1"/>
            <w:sz w:val="24"/>
            <w:szCs w:val="24"/>
          </w:rPr>
          <w:id w:val="-1019236847"/>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CITATION Mat07 \n  \t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(2007)</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 xml:space="preserve">  al desarrollo de un modelo conceptual que relaciona las características de los Activos de Administración de Proyectos con los resultados en el Desempeño de Proyectos. De acuerdo con Sejvig  </w:t>
      </w:r>
      <w:sdt>
        <w:sdtPr>
          <w:rPr>
            <w:rFonts w:ascii="Arial" w:hAnsi="Arial" w:cs="Arial"/>
            <w:color w:val="000000" w:themeColor="text1"/>
            <w:sz w:val="24"/>
            <w:szCs w:val="24"/>
          </w:rPr>
          <w:id w:val="-357977329"/>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CITATION Sej21 \n  \t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(2021)</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 xml:space="preserve">, este modelo se clasificaría como una teoría híbrida (de tipo prescriptivo y práctico). </w:t>
      </w:r>
    </w:p>
    <w:p w14:paraId="5CD693D0" w14:textId="77777777" w:rsidR="0093626A" w:rsidRPr="00634580" w:rsidRDefault="00000000" w:rsidP="00634580">
      <w:pPr>
        <w:spacing w:line="360" w:lineRule="auto"/>
        <w:ind w:firstLine="708"/>
        <w:rPr>
          <w:rFonts w:ascii="Arial" w:hAnsi="Arial" w:cs="Arial"/>
          <w:color w:val="000000" w:themeColor="text1"/>
          <w:sz w:val="24"/>
          <w:szCs w:val="24"/>
        </w:rPr>
      </w:pPr>
      <w:r w:rsidRPr="00634580">
        <w:rPr>
          <w:rFonts w:ascii="Arial" w:hAnsi="Arial" w:cs="Arial"/>
          <w:color w:val="000000" w:themeColor="text1"/>
          <w:sz w:val="24"/>
          <w:szCs w:val="24"/>
        </w:rPr>
        <w:t xml:space="preserve">Con investigaciones posteriores de Mathur et al. </w:t>
      </w:r>
      <w:sdt>
        <w:sdtPr>
          <w:rPr>
            <w:rFonts w:ascii="Arial" w:hAnsi="Arial" w:cs="Arial"/>
            <w:color w:val="000000" w:themeColor="text1"/>
            <w:sz w:val="24"/>
            <w:szCs w:val="24"/>
          </w:rPr>
          <w:id w:val="-713433646"/>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CITATION Mat13 \n  \t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(2013)</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 xml:space="preserve"> y Perkins et al. </w:t>
      </w:r>
      <w:sdt>
        <w:sdtPr>
          <w:rPr>
            <w:rFonts w:ascii="Arial" w:hAnsi="Arial" w:cs="Arial"/>
            <w:color w:val="000000" w:themeColor="text1"/>
            <w:sz w:val="24"/>
            <w:szCs w:val="24"/>
          </w:rPr>
          <w:id w:val="-492575755"/>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CITATION Per18 \n  \t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(2018)</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 el modelo llega a probarse a nivel factorial exploratorio con resultados favorables (Figura 1).</w:t>
      </w:r>
    </w:p>
    <w:p w14:paraId="2EF18BDF" w14:textId="77777777" w:rsidR="0093626A" w:rsidRPr="00634580" w:rsidRDefault="00000000" w:rsidP="00634580">
      <w:pPr>
        <w:spacing w:line="360" w:lineRule="auto"/>
        <w:rPr>
          <w:rFonts w:ascii="Arial" w:hAnsi="Arial" w:cs="Arial"/>
          <w:i/>
          <w:iCs/>
          <w:color w:val="000000" w:themeColor="text1"/>
          <w:sz w:val="24"/>
          <w:szCs w:val="24"/>
        </w:rPr>
      </w:pPr>
      <w:r w:rsidRPr="00634580">
        <w:rPr>
          <w:rFonts w:ascii="Arial" w:hAnsi="Arial" w:cs="Arial"/>
          <w:b/>
          <w:bCs/>
          <w:color w:val="000000" w:themeColor="text1"/>
          <w:sz w:val="24"/>
          <w:szCs w:val="24"/>
        </w:rPr>
        <w:t xml:space="preserve">Figura 1. </w:t>
      </w:r>
      <w:r w:rsidRPr="00634580">
        <w:rPr>
          <w:rFonts w:ascii="Arial" w:hAnsi="Arial" w:cs="Arial"/>
          <w:i/>
          <w:iCs/>
          <w:color w:val="000000" w:themeColor="text1"/>
          <w:sz w:val="24"/>
          <w:szCs w:val="24"/>
        </w:rPr>
        <w:t xml:space="preserve">Modelo Conceptual del Desempeño de Proyectos a partir de los Recursos VRIO </w:t>
      </w:r>
    </w:p>
    <w:p w14:paraId="038FC6C7" w14:textId="77777777" w:rsidR="0093626A" w:rsidRPr="00634580" w:rsidRDefault="00000000" w:rsidP="00634580">
      <w:pPr>
        <w:spacing w:line="360" w:lineRule="auto"/>
        <w:jc w:val="center"/>
        <w:rPr>
          <w:rFonts w:ascii="Arial" w:hAnsi="Arial" w:cs="Arial"/>
          <w:color w:val="000000" w:themeColor="text1"/>
          <w:sz w:val="24"/>
          <w:szCs w:val="24"/>
        </w:rPr>
      </w:pPr>
      <w:r w:rsidRPr="00634580">
        <w:rPr>
          <w:rFonts w:ascii="Arial" w:hAnsi="Arial" w:cs="Arial"/>
          <w:noProof/>
          <w:color w:val="000000" w:themeColor="text1"/>
          <w:sz w:val="24"/>
          <w:szCs w:val="24"/>
        </w:rPr>
        <w:lastRenderedPageBreak/>
        <w:drawing>
          <wp:inline distT="0" distB="0" distL="0" distR="0" wp14:anchorId="2A23A852" wp14:editId="34FD2B7B">
            <wp:extent cx="4458335" cy="2912745"/>
            <wp:effectExtent l="0" t="0" r="18415" b="1905"/>
            <wp:docPr id="108992303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923032" name="Imagen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461200" cy="2914515"/>
                    </a:xfrm>
                    <a:prstGeom prst="rect">
                      <a:avLst/>
                    </a:prstGeom>
                    <a:noFill/>
                  </pic:spPr>
                </pic:pic>
              </a:graphicData>
            </a:graphic>
          </wp:inline>
        </w:drawing>
      </w:r>
    </w:p>
    <w:p w14:paraId="3DC96ED3" w14:textId="77777777" w:rsidR="0093626A" w:rsidRPr="00634580" w:rsidRDefault="00000000" w:rsidP="00634580">
      <w:pPr>
        <w:spacing w:line="360" w:lineRule="auto"/>
        <w:rPr>
          <w:rFonts w:ascii="Arial" w:hAnsi="Arial" w:cs="Arial"/>
          <w:color w:val="000000" w:themeColor="text1"/>
          <w:sz w:val="20"/>
          <w:szCs w:val="20"/>
        </w:rPr>
      </w:pPr>
      <w:r w:rsidRPr="00634580">
        <w:rPr>
          <w:rFonts w:ascii="Arial" w:hAnsi="Arial" w:cs="Arial"/>
          <w:color w:val="000000" w:themeColor="text1"/>
          <w:sz w:val="20"/>
          <w:szCs w:val="20"/>
        </w:rPr>
        <w:t>Fuente: Conceptualización propia basada en Mathur et al (2013).</w:t>
      </w:r>
    </w:p>
    <w:p w14:paraId="73AD66C5" w14:textId="77777777" w:rsidR="0093626A" w:rsidRPr="00634580" w:rsidRDefault="00000000" w:rsidP="00634580">
      <w:pPr>
        <w:spacing w:line="360" w:lineRule="auto"/>
        <w:ind w:firstLine="708"/>
        <w:rPr>
          <w:rFonts w:ascii="Arial" w:hAnsi="Arial" w:cs="Arial"/>
          <w:color w:val="000000" w:themeColor="text1"/>
          <w:sz w:val="24"/>
          <w:szCs w:val="24"/>
        </w:rPr>
      </w:pPr>
      <w:r w:rsidRPr="00634580">
        <w:rPr>
          <w:rFonts w:ascii="Arial" w:hAnsi="Arial" w:cs="Arial"/>
          <w:color w:val="000000" w:themeColor="text1"/>
          <w:sz w:val="24"/>
          <w:szCs w:val="24"/>
        </w:rPr>
        <w:t>El instrumento de medición fue inicialmente desarrollado a partir de estudios exploratorios usando el proceso de Focus Group con experimentados administradores de proyectos Mathur et al (2013) y posteriormente se aplicó a numerosos miembros de asociaciones de administración de proyectos de diversas empresas en varios países para lograr un nivel confirmatorio con resultados satisfactorios (Jugdev et al., 2019 y Perkins et al., 2020).</w:t>
      </w:r>
    </w:p>
    <w:p w14:paraId="5E4C96C4" w14:textId="77777777" w:rsidR="0093626A" w:rsidRPr="00634580" w:rsidRDefault="00000000" w:rsidP="00634580">
      <w:pPr>
        <w:spacing w:line="360" w:lineRule="auto"/>
        <w:ind w:firstLine="708"/>
        <w:rPr>
          <w:rFonts w:ascii="Arial" w:hAnsi="Arial" w:cs="Arial"/>
          <w:color w:val="000000" w:themeColor="text1"/>
          <w:sz w:val="24"/>
          <w:szCs w:val="24"/>
        </w:rPr>
      </w:pPr>
      <w:bookmarkStart w:id="18" w:name="_Toc103117459"/>
      <w:r w:rsidRPr="00634580">
        <w:rPr>
          <w:rFonts w:ascii="Arial" w:hAnsi="Arial" w:cs="Arial"/>
          <w:color w:val="000000" w:themeColor="text1"/>
          <w:sz w:val="24"/>
          <w:szCs w:val="24"/>
        </w:rPr>
        <w:t>A partir de estas últimas investigaciones confirmatorias, se toma la variable Desempeño de Administración de Proyectos</w:t>
      </w:r>
      <w:bookmarkEnd w:id="18"/>
      <w:r w:rsidRPr="00634580">
        <w:rPr>
          <w:rFonts w:ascii="Arial" w:hAnsi="Arial" w:cs="Arial"/>
          <w:color w:val="000000" w:themeColor="text1"/>
          <w:sz w:val="24"/>
          <w:szCs w:val="24"/>
        </w:rPr>
        <w:t xml:space="preserve"> (DAP) para el análisis cuantitativo del presente estudio. La variable se enfoca a medir el resultado de los proyectos en las organizaciones, de acuerdo con Mathur et al. (2013) y Perkins et al. (2020) e integra el logro de los objetivos del proyecto en términos de las especificaciones iniciales de: requerimientos de alcance, programa calendarizado, expectativas de los clientes, calidad de los entregables y costos del proyecto, medidas en dos dimensiones: a nivel de resultados del proyecto y a nivel de resultados en la organización (Jugdev et al., 2019; Mathur et al., 2013; Perkins et al., 2018; y Perkins et al., 2020).</w:t>
      </w:r>
    </w:p>
    <w:p w14:paraId="3B40B924" w14:textId="77777777" w:rsidR="0093626A" w:rsidRPr="00634580" w:rsidRDefault="00000000" w:rsidP="00634580">
      <w:pPr>
        <w:pStyle w:val="Ttulo1"/>
        <w:spacing w:line="360" w:lineRule="auto"/>
        <w:rPr>
          <w:rFonts w:ascii="Arial" w:hAnsi="Arial" w:cs="Arial"/>
          <w:color w:val="000000" w:themeColor="text1"/>
          <w:sz w:val="24"/>
          <w:szCs w:val="24"/>
        </w:rPr>
      </w:pPr>
      <w:r w:rsidRPr="00634580">
        <w:rPr>
          <w:rFonts w:ascii="Arial" w:hAnsi="Arial" w:cs="Arial"/>
          <w:color w:val="000000" w:themeColor="text1"/>
          <w:sz w:val="24"/>
          <w:szCs w:val="24"/>
        </w:rPr>
        <w:lastRenderedPageBreak/>
        <w:t>Relevancia y Objetivo del Estudio</w:t>
      </w:r>
    </w:p>
    <w:p w14:paraId="3D0B6F0C" w14:textId="77777777" w:rsidR="0093626A" w:rsidRPr="00634580" w:rsidRDefault="00000000" w:rsidP="00634580">
      <w:pPr>
        <w:spacing w:line="360" w:lineRule="auto"/>
        <w:rPr>
          <w:rFonts w:ascii="Arial" w:hAnsi="Arial" w:cs="Arial"/>
          <w:color w:val="000000" w:themeColor="text1"/>
          <w:sz w:val="24"/>
          <w:szCs w:val="24"/>
        </w:rPr>
      </w:pPr>
      <w:r w:rsidRPr="00634580">
        <w:rPr>
          <w:rFonts w:ascii="Arial" w:hAnsi="Arial" w:cs="Arial"/>
          <w:color w:val="000000" w:themeColor="text1"/>
          <w:sz w:val="24"/>
          <w:szCs w:val="24"/>
        </w:rPr>
        <w:t>Los resultados muestran que las organizaciones estructuradas con base en proyectos tienen mayor dinamismo para adaptarse a los cambios del entorno, que les demanda mejorar procesos productivos, innovar y mantener enfoque al cliente, entre otros, con la finalidad de lograr ventajas competitivas que sean sostenibles (Salazar-Aramayo et al.,</w:t>
      </w:r>
      <w:sdt>
        <w:sdtPr>
          <w:rPr>
            <w:rFonts w:ascii="Arial" w:hAnsi="Arial" w:cs="Arial"/>
            <w:color w:val="000000" w:themeColor="text1"/>
            <w:sz w:val="24"/>
            <w:szCs w:val="24"/>
          </w:rPr>
          <w:id w:val="-1307006073"/>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CITATION Sal13 \n  \t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 xml:space="preserve"> (2013)</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 xml:space="preserve">. </w:t>
      </w:r>
    </w:p>
    <w:p w14:paraId="7AAFF872" w14:textId="77777777" w:rsidR="0093626A" w:rsidRPr="00634580" w:rsidRDefault="00000000" w:rsidP="00634580">
      <w:pPr>
        <w:spacing w:line="360" w:lineRule="auto"/>
        <w:ind w:firstLine="708"/>
        <w:rPr>
          <w:rFonts w:ascii="Arial" w:hAnsi="Arial" w:cs="Arial"/>
          <w:color w:val="000000" w:themeColor="text1"/>
          <w:sz w:val="24"/>
          <w:szCs w:val="24"/>
        </w:rPr>
      </w:pPr>
      <w:r w:rsidRPr="00634580">
        <w:rPr>
          <w:rFonts w:ascii="Arial" w:hAnsi="Arial" w:cs="Arial"/>
          <w:color w:val="000000" w:themeColor="text1"/>
          <w:sz w:val="24"/>
          <w:szCs w:val="24"/>
        </w:rPr>
        <w:t xml:space="preserve">Ante este contexto, la Administración de Proyectos resalta como la disciplina base que guíe las prácticas de ejecución y favorezca el desempeño en los sectores basados en proyectos, en particular hacia el sector que se dirigió el estudio, considerado uno de los sectores </w:t>
      </w:r>
      <w:r w:rsidRPr="00634580">
        <w:rPr>
          <w:rFonts w:ascii="Arial" w:hAnsi="Arial" w:cs="Arial"/>
          <w:i/>
          <w:iCs/>
          <w:color w:val="000000" w:themeColor="text1"/>
          <w:sz w:val="24"/>
          <w:szCs w:val="24"/>
        </w:rPr>
        <w:t>Project-Based</w:t>
      </w:r>
      <w:r w:rsidRPr="00634580">
        <w:rPr>
          <w:rFonts w:ascii="Arial" w:hAnsi="Arial" w:cs="Arial"/>
          <w:color w:val="000000" w:themeColor="text1"/>
          <w:sz w:val="24"/>
          <w:szCs w:val="24"/>
        </w:rPr>
        <w:t xml:space="preserve"> de gran relevancia en el ámbito socioeconómico Brink et al.,</w:t>
      </w:r>
      <w:sdt>
        <w:sdtPr>
          <w:rPr>
            <w:rFonts w:ascii="Arial" w:hAnsi="Arial" w:cs="Arial"/>
            <w:color w:val="000000" w:themeColor="text1"/>
            <w:sz w:val="24"/>
            <w:szCs w:val="24"/>
          </w:rPr>
          <w:id w:val="130211424"/>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CITATION Bri20 \n  \t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 xml:space="preserve"> (2020)</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w:t>
      </w:r>
    </w:p>
    <w:p w14:paraId="4BDB2C7E" w14:textId="77777777" w:rsidR="0093626A" w:rsidRPr="00634580" w:rsidRDefault="00000000" w:rsidP="00634580">
      <w:pPr>
        <w:spacing w:line="360" w:lineRule="auto"/>
        <w:ind w:firstLine="708"/>
        <w:rPr>
          <w:rFonts w:ascii="Arial" w:hAnsi="Arial" w:cs="Arial"/>
          <w:color w:val="000000" w:themeColor="text1"/>
          <w:sz w:val="24"/>
          <w:szCs w:val="24"/>
        </w:rPr>
      </w:pPr>
      <w:r w:rsidRPr="00634580">
        <w:rPr>
          <w:rFonts w:ascii="Arial" w:hAnsi="Arial" w:cs="Arial"/>
          <w:color w:val="000000" w:themeColor="text1"/>
          <w:sz w:val="24"/>
          <w:szCs w:val="24"/>
        </w:rPr>
        <w:t xml:space="preserve">Por lo que, el instrumento integrado en los estudios empíricos de </w:t>
      </w:r>
      <w:bookmarkStart w:id="19" w:name="_Hlk134093670"/>
      <w:r w:rsidRPr="00634580">
        <w:rPr>
          <w:rFonts w:ascii="Arial" w:hAnsi="Arial" w:cs="Arial"/>
          <w:color w:val="000000" w:themeColor="text1"/>
          <w:sz w:val="24"/>
          <w:szCs w:val="24"/>
        </w:rPr>
        <w:t>Mathur et al. (2013), Perkins et al. (2018), Jugdev et al. (2019) y Perkins et al. (2020)</w:t>
      </w:r>
      <w:bookmarkEnd w:id="19"/>
      <w:r w:rsidRPr="00634580">
        <w:rPr>
          <w:rFonts w:ascii="Arial" w:hAnsi="Arial" w:cs="Arial"/>
          <w:color w:val="000000" w:themeColor="text1"/>
          <w:sz w:val="24"/>
          <w:szCs w:val="24"/>
        </w:rPr>
        <w:t xml:space="preserve"> se contextualizó al sector O&amp;G mexicano.</w:t>
      </w:r>
    </w:p>
    <w:p w14:paraId="3246BA03" w14:textId="77777777" w:rsidR="0093626A" w:rsidRPr="00634580" w:rsidRDefault="00000000" w:rsidP="00634580">
      <w:pPr>
        <w:spacing w:line="360" w:lineRule="auto"/>
        <w:ind w:firstLine="708"/>
        <w:rPr>
          <w:rFonts w:ascii="Arial" w:hAnsi="Arial" w:cs="Arial"/>
          <w:color w:val="000000" w:themeColor="text1"/>
          <w:sz w:val="24"/>
          <w:szCs w:val="24"/>
        </w:rPr>
      </w:pPr>
      <w:r w:rsidRPr="00634580">
        <w:rPr>
          <w:rFonts w:ascii="Arial" w:hAnsi="Arial" w:cs="Arial"/>
          <w:color w:val="000000" w:themeColor="text1"/>
          <w:sz w:val="24"/>
          <w:szCs w:val="24"/>
        </w:rPr>
        <w:t>El objetivo principal del estudio fue comprobar la fiabilidad y validez de constructo del instrumento de medición integrado y adaptado para la variable DAP, mediante análisis estadístico y factorial.</w:t>
      </w:r>
    </w:p>
    <w:p w14:paraId="5E5ACF91" w14:textId="77777777" w:rsidR="0093626A" w:rsidRPr="00634580" w:rsidRDefault="00000000" w:rsidP="00634580">
      <w:pPr>
        <w:pStyle w:val="Ttulo1"/>
        <w:spacing w:line="360" w:lineRule="auto"/>
        <w:rPr>
          <w:rFonts w:ascii="Arial" w:hAnsi="Arial" w:cs="Arial"/>
          <w:b/>
          <w:bCs/>
          <w:color w:val="000000" w:themeColor="text1"/>
          <w:sz w:val="24"/>
          <w:szCs w:val="24"/>
        </w:rPr>
      </w:pPr>
      <w:r w:rsidRPr="00634580">
        <w:rPr>
          <w:rFonts w:ascii="Arial" w:hAnsi="Arial" w:cs="Arial"/>
          <w:b/>
          <w:bCs/>
          <w:color w:val="000000" w:themeColor="text1"/>
          <w:sz w:val="24"/>
          <w:szCs w:val="24"/>
        </w:rPr>
        <w:t xml:space="preserve">Metodología y Recursos </w:t>
      </w:r>
    </w:p>
    <w:p w14:paraId="5CD9DCA5" w14:textId="77777777" w:rsidR="0093626A" w:rsidRPr="00634580" w:rsidRDefault="00000000" w:rsidP="00634580">
      <w:pPr>
        <w:spacing w:line="360" w:lineRule="auto"/>
        <w:rPr>
          <w:rFonts w:ascii="Arial" w:hAnsi="Arial" w:cs="Arial"/>
          <w:color w:val="000000" w:themeColor="text1"/>
          <w:sz w:val="24"/>
          <w:szCs w:val="24"/>
        </w:rPr>
      </w:pPr>
      <w:r w:rsidRPr="00634580">
        <w:rPr>
          <w:rFonts w:ascii="Arial" w:hAnsi="Arial" w:cs="Arial"/>
          <w:color w:val="000000" w:themeColor="text1"/>
          <w:sz w:val="24"/>
          <w:szCs w:val="24"/>
        </w:rPr>
        <w:t>La metodología consistió en un enfoque cuantitativo y transversal, para llegar a un nivel de análisis estadístico y factorial, que permitiera validar el instrumento que se adaptó de estudios previos para la variable Desempeño de Administración de Proyectos (DAP).</w:t>
      </w:r>
    </w:p>
    <w:p w14:paraId="2CF28028" w14:textId="77777777" w:rsidR="0093626A" w:rsidRPr="00634580" w:rsidRDefault="00000000" w:rsidP="00634580">
      <w:pPr>
        <w:pStyle w:val="Ttulo2"/>
        <w:spacing w:line="360" w:lineRule="auto"/>
        <w:rPr>
          <w:rFonts w:ascii="Arial" w:hAnsi="Arial" w:cs="Arial"/>
          <w:color w:val="000000" w:themeColor="text1"/>
          <w:sz w:val="24"/>
          <w:szCs w:val="24"/>
        </w:rPr>
      </w:pPr>
      <w:r w:rsidRPr="00634580">
        <w:rPr>
          <w:rFonts w:ascii="Arial" w:hAnsi="Arial" w:cs="Arial"/>
          <w:color w:val="000000" w:themeColor="text1"/>
          <w:sz w:val="24"/>
          <w:szCs w:val="24"/>
        </w:rPr>
        <w:t>Modelo de Investigación y Sujeto de Estudio</w:t>
      </w:r>
    </w:p>
    <w:p w14:paraId="6E2B4CAE" w14:textId="77777777" w:rsidR="0093626A" w:rsidRPr="00634580" w:rsidRDefault="00000000" w:rsidP="00634580">
      <w:pPr>
        <w:spacing w:line="360" w:lineRule="auto"/>
        <w:rPr>
          <w:rFonts w:ascii="Arial" w:hAnsi="Arial" w:cs="Arial"/>
          <w:color w:val="000000" w:themeColor="text1"/>
          <w:sz w:val="24"/>
          <w:szCs w:val="24"/>
        </w:rPr>
      </w:pPr>
      <w:r w:rsidRPr="00634580">
        <w:rPr>
          <w:rFonts w:ascii="Arial" w:hAnsi="Arial" w:cs="Arial"/>
          <w:color w:val="000000" w:themeColor="text1"/>
          <w:sz w:val="24"/>
          <w:szCs w:val="24"/>
        </w:rPr>
        <w:t>El constructo de investigación desarrollado para la variable DAP se integra por dos dimensiones como se muestra en el modelo de la figura 2.</w:t>
      </w:r>
    </w:p>
    <w:p w14:paraId="0E299A5D" w14:textId="77777777" w:rsidR="0093626A" w:rsidRPr="00634580" w:rsidRDefault="00000000" w:rsidP="00634580">
      <w:pPr>
        <w:spacing w:line="360" w:lineRule="auto"/>
        <w:rPr>
          <w:rFonts w:ascii="Arial" w:hAnsi="Arial" w:cs="Arial"/>
          <w:color w:val="000000" w:themeColor="text1"/>
          <w:sz w:val="24"/>
          <w:szCs w:val="24"/>
        </w:rPr>
      </w:pPr>
      <w:r w:rsidRPr="00634580">
        <w:rPr>
          <w:rFonts w:ascii="Arial" w:hAnsi="Arial" w:cs="Arial"/>
          <w:b/>
          <w:bCs/>
          <w:color w:val="000000" w:themeColor="text1"/>
          <w:sz w:val="24"/>
          <w:szCs w:val="24"/>
        </w:rPr>
        <w:t xml:space="preserve">Figura 2. </w:t>
      </w:r>
      <w:r w:rsidRPr="00634580">
        <w:rPr>
          <w:rFonts w:ascii="Arial" w:hAnsi="Arial" w:cs="Arial"/>
          <w:i/>
          <w:iCs/>
          <w:color w:val="000000" w:themeColor="text1"/>
          <w:sz w:val="24"/>
          <w:szCs w:val="24"/>
        </w:rPr>
        <w:t xml:space="preserve">Modelo de la Variable Desempeño de Administración de Proyectos (DAP) </w:t>
      </w:r>
    </w:p>
    <w:p w14:paraId="6D138BAB" w14:textId="77777777" w:rsidR="0093626A" w:rsidRPr="00634580" w:rsidRDefault="00000000" w:rsidP="00634580">
      <w:pPr>
        <w:spacing w:line="360" w:lineRule="auto"/>
        <w:jc w:val="center"/>
        <w:rPr>
          <w:rFonts w:ascii="Arial" w:hAnsi="Arial" w:cs="Arial"/>
          <w:color w:val="000000" w:themeColor="text1"/>
          <w:sz w:val="24"/>
          <w:szCs w:val="24"/>
        </w:rPr>
      </w:pPr>
      <w:r w:rsidRPr="00634580">
        <w:rPr>
          <w:rFonts w:ascii="Arial" w:hAnsi="Arial" w:cs="Arial"/>
          <w:noProof/>
          <w:color w:val="000000" w:themeColor="text1"/>
          <w:sz w:val="24"/>
          <w:szCs w:val="24"/>
        </w:rPr>
        <w:lastRenderedPageBreak/>
        <w:drawing>
          <wp:inline distT="0" distB="0" distL="0" distR="0" wp14:anchorId="6F79D16B" wp14:editId="26450F8A">
            <wp:extent cx="1704340" cy="1379855"/>
            <wp:effectExtent l="0" t="0" r="10160" b="10795"/>
            <wp:docPr id="107222771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227718" name="Imagen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711901" cy="1385885"/>
                    </a:xfrm>
                    <a:prstGeom prst="rect">
                      <a:avLst/>
                    </a:prstGeom>
                    <a:noFill/>
                  </pic:spPr>
                </pic:pic>
              </a:graphicData>
            </a:graphic>
          </wp:inline>
        </w:drawing>
      </w:r>
    </w:p>
    <w:p w14:paraId="21E20D91" w14:textId="77777777" w:rsidR="0093626A" w:rsidRPr="00634580" w:rsidRDefault="00000000" w:rsidP="00634580">
      <w:pPr>
        <w:spacing w:line="360" w:lineRule="auto"/>
        <w:rPr>
          <w:rFonts w:ascii="Arial" w:hAnsi="Arial" w:cs="Arial"/>
          <w:color w:val="000000" w:themeColor="text1"/>
          <w:sz w:val="20"/>
          <w:szCs w:val="20"/>
        </w:rPr>
      </w:pPr>
      <w:r w:rsidRPr="00634580">
        <w:rPr>
          <w:rFonts w:ascii="Arial" w:hAnsi="Arial" w:cs="Arial"/>
          <w:color w:val="000000" w:themeColor="text1"/>
          <w:sz w:val="20"/>
          <w:szCs w:val="20"/>
        </w:rPr>
        <w:t>Fuente: Conceptualización propia adaptada de Mathur et al. (2013), Perkins et al. (2018), Jugdev et al. (2019) y Perkins et al. (2020).</w:t>
      </w:r>
    </w:p>
    <w:p w14:paraId="782F439F" w14:textId="77777777" w:rsidR="0093626A" w:rsidRPr="00634580" w:rsidRDefault="00000000" w:rsidP="00634580">
      <w:pPr>
        <w:spacing w:line="360" w:lineRule="auto"/>
        <w:ind w:firstLine="708"/>
        <w:rPr>
          <w:rFonts w:ascii="Arial" w:hAnsi="Arial" w:cs="Arial"/>
          <w:color w:val="000000" w:themeColor="text1"/>
          <w:sz w:val="24"/>
          <w:szCs w:val="24"/>
        </w:rPr>
      </w:pPr>
      <w:r w:rsidRPr="00634580">
        <w:rPr>
          <w:rFonts w:ascii="Arial" w:hAnsi="Arial" w:cs="Arial"/>
          <w:color w:val="000000" w:themeColor="text1"/>
          <w:sz w:val="24"/>
          <w:szCs w:val="24"/>
        </w:rPr>
        <w:t xml:space="preserve">Se eligió el sujeto de estudio representado por los profesionistas que se desempeñan en México dentro del sector de Exploración y Producción petrolera conocido como </w:t>
      </w:r>
      <w:r w:rsidRPr="00634580">
        <w:rPr>
          <w:rFonts w:ascii="Arial" w:hAnsi="Arial" w:cs="Arial"/>
          <w:i/>
          <w:iCs/>
          <w:color w:val="000000" w:themeColor="text1"/>
          <w:sz w:val="24"/>
          <w:szCs w:val="24"/>
        </w:rPr>
        <w:t>Oil &amp; Gas</w:t>
      </w:r>
      <w:r w:rsidRPr="00634580">
        <w:rPr>
          <w:rFonts w:ascii="Arial" w:hAnsi="Arial" w:cs="Arial"/>
          <w:color w:val="000000" w:themeColor="text1"/>
          <w:sz w:val="24"/>
          <w:szCs w:val="24"/>
        </w:rPr>
        <w:t xml:space="preserve"> (O&amp;G), en compañías privadas y empresas e instituciones públicas, en todos los niveles jerárquicos o funcionales. La recopilación de información fue a través de una encuesta conformada por los ítems integrados y adaptados en el instrumento de investigación. </w:t>
      </w:r>
    </w:p>
    <w:p w14:paraId="484223B2" w14:textId="77777777" w:rsidR="0093626A" w:rsidRPr="00634580" w:rsidRDefault="00000000" w:rsidP="00634580">
      <w:pPr>
        <w:pStyle w:val="Ttulo2"/>
        <w:spacing w:line="360" w:lineRule="auto"/>
        <w:rPr>
          <w:rFonts w:ascii="Arial" w:hAnsi="Arial" w:cs="Arial"/>
          <w:color w:val="000000" w:themeColor="text1"/>
          <w:sz w:val="24"/>
          <w:szCs w:val="24"/>
        </w:rPr>
      </w:pPr>
      <w:r w:rsidRPr="00634580">
        <w:rPr>
          <w:rFonts w:ascii="Arial" w:hAnsi="Arial" w:cs="Arial"/>
          <w:color w:val="000000" w:themeColor="text1"/>
          <w:sz w:val="24"/>
          <w:szCs w:val="24"/>
        </w:rPr>
        <w:t>Etapas de Investigación</w:t>
      </w:r>
    </w:p>
    <w:p w14:paraId="2C604419" w14:textId="77777777" w:rsidR="0093626A" w:rsidRPr="00634580" w:rsidRDefault="00000000" w:rsidP="00634580">
      <w:pPr>
        <w:spacing w:line="360" w:lineRule="auto"/>
        <w:rPr>
          <w:rFonts w:ascii="Arial" w:hAnsi="Arial" w:cs="Arial"/>
          <w:color w:val="000000" w:themeColor="text1"/>
          <w:sz w:val="24"/>
          <w:szCs w:val="24"/>
        </w:rPr>
      </w:pPr>
      <w:r w:rsidRPr="00634580">
        <w:rPr>
          <w:rFonts w:ascii="Arial" w:hAnsi="Arial" w:cs="Arial"/>
          <w:color w:val="000000" w:themeColor="text1"/>
          <w:sz w:val="24"/>
          <w:szCs w:val="24"/>
        </w:rPr>
        <w:t>El proceso de desarrollo del estudio se realizó en tres grandes etapas:</w:t>
      </w:r>
    </w:p>
    <w:p w14:paraId="04214429" w14:textId="77777777" w:rsidR="0093626A" w:rsidRPr="00634580" w:rsidRDefault="00000000" w:rsidP="00634580">
      <w:pPr>
        <w:pStyle w:val="Prrafodelista"/>
        <w:numPr>
          <w:ilvl w:val="0"/>
          <w:numId w:val="9"/>
        </w:numPr>
        <w:spacing w:line="360" w:lineRule="auto"/>
        <w:rPr>
          <w:rFonts w:ascii="Arial" w:hAnsi="Arial" w:cs="Arial"/>
          <w:color w:val="000000" w:themeColor="text1"/>
          <w:sz w:val="24"/>
          <w:szCs w:val="24"/>
        </w:rPr>
      </w:pPr>
      <w:r w:rsidRPr="00634580">
        <w:rPr>
          <w:rFonts w:ascii="Arial" w:hAnsi="Arial" w:cs="Arial"/>
          <w:color w:val="000000" w:themeColor="text1"/>
          <w:sz w:val="24"/>
          <w:szCs w:val="24"/>
        </w:rPr>
        <w:t>Investigación de historia y evolución teórica de la disciplina vinculada al constructo de investigación. Consistió en recopilar y analizar el estado del arte sobre las variables de investigación, de manera particular bajo el enfoque de la teoría basada en recursos o RBV.</w:t>
      </w:r>
    </w:p>
    <w:p w14:paraId="0B407A8A" w14:textId="77777777" w:rsidR="0093626A" w:rsidRPr="00634580" w:rsidRDefault="00000000" w:rsidP="00634580">
      <w:pPr>
        <w:pStyle w:val="Prrafodelista"/>
        <w:numPr>
          <w:ilvl w:val="0"/>
          <w:numId w:val="9"/>
        </w:numPr>
        <w:spacing w:line="360" w:lineRule="auto"/>
        <w:rPr>
          <w:rFonts w:ascii="Arial" w:hAnsi="Arial" w:cs="Arial"/>
          <w:color w:val="000000" w:themeColor="text1"/>
          <w:sz w:val="24"/>
          <w:szCs w:val="24"/>
        </w:rPr>
      </w:pPr>
      <w:r w:rsidRPr="00634580">
        <w:rPr>
          <w:rFonts w:ascii="Arial" w:hAnsi="Arial" w:cs="Arial"/>
          <w:color w:val="000000" w:themeColor="text1"/>
          <w:sz w:val="24"/>
          <w:szCs w:val="24"/>
        </w:rPr>
        <w:t xml:space="preserve">Selección y adaptación del instrumento de investigación para aplicación de prueba piloto. Esta etapa se desarrolló en dos fases: a) Selección y adaptación de los instrumentos de medición y b) Instrumentación y aplicación del cuestionario. </w:t>
      </w:r>
    </w:p>
    <w:p w14:paraId="43A9C8F7" w14:textId="77777777" w:rsidR="0093626A" w:rsidRPr="00634580" w:rsidRDefault="00000000" w:rsidP="00634580">
      <w:pPr>
        <w:pStyle w:val="Prrafodelista"/>
        <w:numPr>
          <w:ilvl w:val="0"/>
          <w:numId w:val="9"/>
        </w:numPr>
        <w:spacing w:line="360" w:lineRule="auto"/>
        <w:rPr>
          <w:rFonts w:ascii="Arial" w:hAnsi="Arial" w:cs="Arial"/>
          <w:color w:val="000000" w:themeColor="text1"/>
          <w:sz w:val="24"/>
          <w:szCs w:val="24"/>
        </w:rPr>
      </w:pPr>
      <w:r w:rsidRPr="00634580">
        <w:rPr>
          <w:rFonts w:ascii="Arial" w:hAnsi="Arial" w:cs="Arial"/>
          <w:color w:val="000000" w:themeColor="text1"/>
          <w:sz w:val="24"/>
          <w:szCs w:val="24"/>
        </w:rPr>
        <w:t>Procesamiento y Análisis de Resultados. A partir de la información recabada en las encuestas, se realizó limpieza de datos y validez de criterio, análisis descriptivo de la muestra y análisis factorial confirmatorio.</w:t>
      </w:r>
    </w:p>
    <w:p w14:paraId="638F747C" w14:textId="77777777" w:rsidR="0093626A" w:rsidRPr="00634580" w:rsidRDefault="00000000" w:rsidP="00634580">
      <w:pPr>
        <w:pStyle w:val="Ttulo2"/>
        <w:spacing w:line="360" w:lineRule="auto"/>
        <w:rPr>
          <w:rFonts w:ascii="Arial" w:hAnsi="Arial" w:cs="Arial"/>
          <w:color w:val="000000" w:themeColor="text1"/>
          <w:sz w:val="24"/>
          <w:szCs w:val="24"/>
        </w:rPr>
      </w:pPr>
      <w:r w:rsidRPr="00634580">
        <w:rPr>
          <w:rFonts w:ascii="Arial" w:hAnsi="Arial" w:cs="Arial"/>
          <w:color w:val="000000" w:themeColor="text1"/>
          <w:sz w:val="24"/>
          <w:szCs w:val="24"/>
        </w:rPr>
        <w:lastRenderedPageBreak/>
        <w:t>Instrumento de Investigación</w:t>
      </w:r>
    </w:p>
    <w:p w14:paraId="1174A133" w14:textId="51D0F5BD" w:rsidR="0093626A" w:rsidRPr="00634580" w:rsidRDefault="00000000" w:rsidP="00634580">
      <w:pPr>
        <w:spacing w:line="360" w:lineRule="auto"/>
        <w:rPr>
          <w:rFonts w:ascii="Arial" w:hAnsi="Arial" w:cs="Arial"/>
          <w:color w:val="000000" w:themeColor="text1"/>
          <w:sz w:val="24"/>
          <w:szCs w:val="24"/>
        </w:rPr>
      </w:pPr>
      <w:r w:rsidRPr="00634580">
        <w:rPr>
          <w:rFonts w:ascii="Arial" w:hAnsi="Arial" w:cs="Arial"/>
          <w:color w:val="000000" w:themeColor="text1"/>
          <w:sz w:val="24"/>
          <w:szCs w:val="24"/>
        </w:rPr>
        <w:t>Con base en la revisión de los estudios empíricos recientes sobre la disciplina de estudio, se eligieron las investigaciones de Mathur et al. (2013), Perkins et al. (2018), Jugdev et al. (2019) y Perkins et al. (2020), que desarrollaron un instrumento para medir la variable Desempeño de la Administración de Proyectos (DAP)</w:t>
      </w:r>
      <w:r w:rsidRPr="00634580">
        <w:rPr>
          <w:rFonts w:ascii="Arial" w:hAnsi="Arial" w:cs="Arial"/>
          <w:bCs/>
          <w:color w:val="000000" w:themeColor="text1"/>
          <w:sz w:val="24"/>
          <w:szCs w:val="24"/>
        </w:rPr>
        <w:t xml:space="preserve">. </w:t>
      </w:r>
      <w:r w:rsidRPr="00634580">
        <w:rPr>
          <w:rFonts w:ascii="Arial" w:hAnsi="Arial" w:cs="Arial"/>
          <w:color w:val="000000" w:themeColor="text1"/>
          <w:sz w:val="24"/>
          <w:szCs w:val="24"/>
        </w:rPr>
        <w:t xml:space="preserve">A </w:t>
      </w:r>
      <w:r w:rsidR="00B827DF" w:rsidRPr="00B827DF">
        <w:rPr>
          <w:rFonts w:ascii="Arial" w:hAnsi="Arial" w:cs="Arial"/>
          <w:color w:val="000000" w:themeColor="text1"/>
          <w:sz w:val="24"/>
          <w:szCs w:val="24"/>
        </w:rPr>
        <w:t>continuación,</w:t>
      </w:r>
      <w:r w:rsidRPr="00634580">
        <w:rPr>
          <w:rFonts w:ascii="Arial" w:hAnsi="Arial" w:cs="Arial"/>
          <w:color w:val="000000" w:themeColor="text1"/>
          <w:sz w:val="24"/>
          <w:szCs w:val="24"/>
        </w:rPr>
        <w:t xml:space="preserve"> se realizó una revisión y adaptación de la redacción de ciertos ítems cuando se consideró necesario para contextualizar el instrumento al léxico en español y con asesoría de expertos. El cuestionario final se integró con 25 ítems: 14 ítems de control y 11 ítems para medir la variable DAP (Tabla 2). </w:t>
      </w:r>
      <w:r w:rsidR="00B827DF" w:rsidRPr="00B827DF">
        <w:rPr>
          <w:rFonts w:ascii="Arial" w:hAnsi="Arial" w:cs="Arial"/>
          <w:color w:val="000000" w:themeColor="text1"/>
          <w:sz w:val="24"/>
          <w:szCs w:val="24"/>
        </w:rPr>
        <w:t>Todos los ítems</w:t>
      </w:r>
      <w:r w:rsidRPr="00634580">
        <w:rPr>
          <w:rFonts w:ascii="Arial" w:hAnsi="Arial" w:cs="Arial"/>
          <w:color w:val="000000" w:themeColor="text1"/>
          <w:sz w:val="24"/>
          <w:szCs w:val="24"/>
        </w:rPr>
        <w:t xml:space="preserve"> consistieron en preguntas cerradas, con respuestas de opción múltiple. Para los ítems generales se consideraron respuestas con escala nominal principalmente, y para la variable de estudio DAP, los ítems miden la percepción de los participantes utilizando escala ordinal Likert con 5 puntos, donde (1) corresponde a “Totalmente en Desacuerdo” y (5) a “Totalmente de Acuerdo”.</w:t>
      </w:r>
    </w:p>
    <w:p w14:paraId="4258E770" w14:textId="77777777" w:rsidR="0093626A" w:rsidRPr="00634580" w:rsidRDefault="00000000" w:rsidP="00634580">
      <w:pPr>
        <w:spacing w:line="360" w:lineRule="auto"/>
        <w:ind w:firstLine="708"/>
        <w:rPr>
          <w:rFonts w:ascii="Arial" w:hAnsi="Arial" w:cs="Arial"/>
          <w:color w:val="000000" w:themeColor="text1"/>
          <w:sz w:val="24"/>
          <w:szCs w:val="24"/>
        </w:rPr>
      </w:pPr>
      <w:bookmarkStart w:id="20" w:name="_Hlk119686030"/>
      <w:r w:rsidRPr="00634580">
        <w:rPr>
          <w:rFonts w:ascii="Arial" w:hAnsi="Arial" w:cs="Arial"/>
          <w:color w:val="000000" w:themeColor="text1"/>
          <w:sz w:val="24"/>
          <w:szCs w:val="24"/>
        </w:rPr>
        <w:t xml:space="preserve">El instrumento se aplicó en línea garantizando el anonimato </w:t>
      </w:r>
      <w:bookmarkEnd w:id="20"/>
      <w:r w:rsidRPr="00634580">
        <w:rPr>
          <w:rFonts w:ascii="Arial" w:hAnsi="Arial" w:cs="Arial"/>
          <w:color w:val="000000" w:themeColor="text1"/>
          <w:sz w:val="24"/>
          <w:szCs w:val="24"/>
        </w:rPr>
        <w:t xml:space="preserve">mediante la plataforma Qualtrics, una plataforma con licencia para uso académico de la Universidad Autónoma de Guadalajara (UAG). </w:t>
      </w:r>
    </w:p>
    <w:p w14:paraId="67B37938" w14:textId="77777777" w:rsidR="0093626A" w:rsidRPr="00634580" w:rsidRDefault="00000000" w:rsidP="00634580">
      <w:pPr>
        <w:spacing w:line="360" w:lineRule="auto"/>
        <w:ind w:firstLine="708"/>
        <w:rPr>
          <w:rFonts w:ascii="Arial" w:hAnsi="Arial" w:cs="Arial"/>
          <w:color w:val="000000" w:themeColor="text1"/>
          <w:sz w:val="24"/>
          <w:szCs w:val="24"/>
        </w:rPr>
      </w:pPr>
      <w:r w:rsidRPr="00634580">
        <w:rPr>
          <w:rFonts w:ascii="Arial" w:hAnsi="Arial" w:cs="Arial"/>
          <w:color w:val="000000" w:themeColor="text1"/>
          <w:sz w:val="24"/>
          <w:szCs w:val="24"/>
        </w:rPr>
        <w:t>El tamaño de la muestra se determinó de acuerdo con Hair et al.</w:t>
      </w:r>
      <w:sdt>
        <w:sdtPr>
          <w:rPr>
            <w:rFonts w:ascii="Arial" w:hAnsi="Arial" w:cs="Arial"/>
            <w:color w:val="000000" w:themeColor="text1"/>
            <w:sz w:val="24"/>
            <w:szCs w:val="24"/>
          </w:rPr>
          <w:id w:val="-743722827"/>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CITATION Hai10 \n  \t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 xml:space="preserve"> (2010)</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 xml:space="preserve">, quien recomienda al menos 100 elementos para lograr niveles de significancia estadística aceptables en los estudios de prueba piloto. Lo anterior se reforzó con los estudios de Viechtbauer et al </w:t>
      </w:r>
      <w:sdt>
        <w:sdtPr>
          <w:rPr>
            <w:rFonts w:ascii="Arial" w:hAnsi="Arial" w:cs="Arial"/>
            <w:color w:val="000000" w:themeColor="text1"/>
            <w:sz w:val="24"/>
            <w:szCs w:val="24"/>
          </w:rPr>
          <w:id w:val="1491976736"/>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CITATION Vie15 \n  \t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(2015)</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 quienes consideran que para alcanzar un nivel de confianza del 95% y una probabilidad baja de 3.5% de una problemática por exclusión de participantes, 84 instrumentos son suficientes en una prueba piloto.</w:t>
      </w:r>
    </w:p>
    <w:p w14:paraId="6B3E48C3" w14:textId="77777777" w:rsidR="0093626A" w:rsidRPr="00634580" w:rsidRDefault="00000000" w:rsidP="00634580">
      <w:pPr>
        <w:pStyle w:val="APA6a-Nor"/>
        <w:spacing w:line="360" w:lineRule="auto"/>
        <w:rPr>
          <w:rFonts w:ascii="Arial" w:hAnsi="Arial" w:cs="Arial"/>
          <w:color w:val="000000" w:themeColor="text1"/>
          <w:sz w:val="24"/>
          <w:szCs w:val="24"/>
        </w:rPr>
      </w:pPr>
      <w:r w:rsidRPr="00634580">
        <w:rPr>
          <w:rFonts w:ascii="Arial" w:hAnsi="Arial" w:cs="Arial"/>
          <w:b/>
          <w:bCs/>
          <w:color w:val="000000" w:themeColor="text1"/>
          <w:sz w:val="24"/>
          <w:szCs w:val="24"/>
        </w:rPr>
        <w:t>Tabla 2.</w:t>
      </w:r>
      <w:r w:rsidRPr="00634580">
        <w:rPr>
          <w:rFonts w:ascii="Arial" w:hAnsi="Arial" w:cs="Arial"/>
          <w:color w:val="000000" w:themeColor="text1"/>
          <w:sz w:val="24"/>
          <w:szCs w:val="24"/>
        </w:rPr>
        <w:t xml:space="preserve"> </w:t>
      </w:r>
      <w:r w:rsidRPr="00634580">
        <w:rPr>
          <w:rFonts w:ascii="Arial" w:hAnsi="Arial" w:cs="Arial"/>
          <w:i/>
          <w:iCs/>
          <w:color w:val="000000" w:themeColor="text1"/>
          <w:sz w:val="24"/>
          <w:szCs w:val="24"/>
        </w:rPr>
        <w:t>Instrumento de investigación</w:t>
      </w:r>
    </w:p>
    <w:p w14:paraId="4F7A3E80" w14:textId="77777777" w:rsidR="0093626A" w:rsidRPr="00634580" w:rsidRDefault="00000000" w:rsidP="00634580">
      <w:pPr>
        <w:pStyle w:val="APA6a-Nor"/>
        <w:spacing w:line="360" w:lineRule="auto"/>
        <w:rPr>
          <w:rFonts w:ascii="Arial" w:hAnsi="Arial" w:cs="Arial"/>
          <w:color w:val="000000" w:themeColor="text1"/>
          <w:sz w:val="24"/>
          <w:szCs w:val="24"/>
        </w:rPr>
      </w:pPr>
      <w:r w:rsidRPr="00634580">
        <w:rPr>
          <w:rFonts w:ascii="Arial" w:hAnsi="Arial" w:cs="Arial"/>
          <w:noProof/>
          <w:color w:val="000000" w:themeColor="text1"/>
          <w:sz w:val="24"/>
          <w:szCs w:val="24"/>
        </w:rPr>
        <w:lastRenderedPageBreak/>
        <w:drawing>
          <wp:inline distT="0" distB="0" distL="0" distR="0" wp14:anchorId="244F3D6B" wp14:editId="0EF3E546">
            <wp:extent cx="5331460" cy="2474595"/>
            <wp:effectExtent l="0" t="0" r="2540" b="1905"/>
            <wp:docPr id="65706654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066545" name="Imagen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5334233" cy="2475789"/>
                    </a:xfrm>
                    <a:prstGeom prst="rect">
                      <a:avLst/>
                    </a:prstGeom>
                    <a:noFill/>
                    <a:ln>
                      <a:noFill/>
                    </a:ln>
                  </pic:spPr>
                </pic:pic>
              </a:graphicData>
            </a:graphic>
          </wp:inline>
        </w:drawing>
      </w:r>
    </w:p>
    <w:p w14:paraId="1FBC9070" w14:textId="77777777" w:rsidR="0093626A" w:rsidRPr="00634580" w:rsidRDefault="00000000" w:rsidP="00634580">
      <w:pPr>
        <w:spacing w:after="240" w:line="360" w:lineRule="auto"/>
        <w:rPr>
          <w:rFonts w:ascii="Arial" w:hAnsi="Arial" w:cs="Arial"/>
          <w:color w:val="000000" w:themeColor="text1"/>
          <w:sz w:val="20"/>
          <w:szCs w:val="20"/>
        </w:rPr>
      </w:pPr>
      <w:r w:rsidRPr="00634580">
        <w:rPr>
          <w:rFonts w:ascii="Arial" w:hAnsi="Arial" w:cs="Arial"/>
          <w:color w:val="000000" w:themeColor="text1"/>
          <w:sz w:val="20"/>
          <w:szCs w:val="20"/>
        </w:rPr>
        <w:t>Fuente: Elaboración propia</w:t>
      </w:r>
    </w:p>
    <w:p w14:paraId="1FFDEDA9" w14:textId="77777777" w:rsidR="0093626A" w:rsidRPr="00634580" w:rsidRDefault="00000000" w:rsidP="00634580">
      <w:pPr>
        <w:spacing w:line="360" w:lineRule="auto"/>
        <w:ind w:firstLine="708"/>
        <w:rPr>
          <w:rFonts w:ascii="Arial" w:hAnsi="Arial" w:cs="Arial"/>
          <w:color w:val="000000" w:themeColor="text1"/>
          <w:sz w:val="24"/>
          <w:szCs w:val="24"/>
        </w:rPr>
      </w:pPr>
      <w:r w:rsidRPr="00634580">
        <w:rPr>
          <w:rFonts w:ascii="Arial" w:hAnsi="Arial" w:cs="Arial"/>
          <w:color w:val="000000" w:themeColor="text1"/>
          <w:sz w:val="24"/>
          <w:szCs w:val="24"/>
        </w:rPr>
        <w:t xml:space="preserve">Finalmente, para el análisis e interpretación de la información recabada se realizó limpieza de datos, análisis de conformación de los participantes en la muestra y el Análisis Factorial Confirmatorio (AFC), con apoyo del paquete análisis estadístico de IBM para las Ciencias Sociales (SPSS) y Excel. </w:t>
      </w:r>
    </w:p>
    <w:p w14:paraId="6B931F1E" w14:textId="77777777" w:rsidR="0093626A" w:rsidRPr="00634580" w:rsidRDefault="00000000" w:rsidP="00634580">
      <w:pPr>
        <w:pStyle w:val="Ttulo1"/>
        <w:spacing w:line="360" w:lineRule="auto"/>
        <w:rPr>
          <w:rFonts w:ascii="Arial" w:hAnsi="Arial" w:cs="Arial"/>
          <w:b/>
          <w:bCs/>
          <w:color w:val="000000" w:themeColor="text1"/>
          <w:sz w:val="24"/>
          <w:szCs w:val="24"/>
        </w:rPr>
      </w:pPr>
      <w:r w:rsidRPr="00634580">
        <w:rPr>
          <w:rFonts w:ascii="Arial" w:hAnsi="Arial" w:cs="Arial"/>
          <w:b/>
          <w:bCs/>
          <w:color w:val="000000" w:themeColor="text1"/>
          <w:sz w:val="24"/>
          <w:szCs w:val="24"/>
        </w:rPr>
        <w:t>Resultados y Discusión</w:t>
      </w:r>
    </w:p>
    <w:p w14:paraId="061DC0FB" w14:textId="3D0ECF33" w:rsidR="0093626A" w:rsidRPr="00634580" w:rsidRDefault="00000000" w:rsidP="00634580">
      <w:pPr>
        <w:spacing w:line="360" w:lineRule="auto"/>
        <w:rPr>
          <w:rFonts w:ascii="Arial" w:hAnsi="Arial" w:cs="Arial"/>
          <w:color w:val="000000" w:themeColor="text1"/>
          <w:sz w:val="24"/>
          <w:szCs w:val="24"/>
        </w:rPr>
      </w:pPr>
      <w:r w:rsidRPr="00634580">
        <w:rPr>
          <w:rFonts w:ascii="Arial" w:hAnsi="Arial" w:cs="Arial"/>
          <w:color w:val="000000" w:themeColor="text1"/>
          <w:sz w:val="24"/>
          <w:szCs w:val="24"/>
        </w:rPr>
        <w:t xml:space="preserve">Se enviaron a través de Whatsapp y correo electrónico alrededor de 200 encuestas, de las cuales se obtuvo el 65% de respuestas que representaron 131 encuestas contestadas, todas ellas sin detectar datos faltantes. La distribución estadística de los datos mostró normalidad de acuerdo con el análisis por métodos gráficos, y mediante la cuantificación de asimetría y curtosis, aplicando la prueba de Kolmogorov-Smirnov a razón de disponer de más de 50 instrumentos (Hair et al., 2010), se comprobaron como valores aceptables </w:t>
      </w:r>
      <w:r w:rsidRPr="00634580">
        <w:rPr>
          <w:rFonts w:ascii="Arial" w:hAnsi="Arial" w:cs="Arial"/>
          <w:color w:val="000000" w:themeColor="text1"/>
          <w:sz w:val="24"/>
          <w:szCs w:val="24"/>
        </w:rPr>
        <w:sym w:font="Symbol" w:char="F0A3"/>
      </w:r>
      <w:r w:rsidRPr="00634580">
        <w:rPr>
          <w:rFonts w:ascii="Arial" w:hAnsi="Arial" w:cs="Arial"/>
          <w:color w:val="000000" w:themeColor="text1"/>
          <w:sz w:val="24"/>
          <w:szCs w:val="24"/>
        </w:rPr>
        <w:t xml:space="preserve"> 3*Error Std para todos los ítems de la variable DAP, con excepción de DAP_NC1, que deberá ser revisado en estudios posteriores; sin embargo, de acuerdo con Hair et al (2010), al tratarse de una investigación en disciplinas sociales y con instrumentos de medición en escala de Likert, con una muestra superior a 30 elementos siempre puede asumirse una tendencia de convergencia a la normalidad dado el teorema del límite central. Asimismo, se comprobó linealidad y homocedasticidad con valores de significancia mayores a 0.05, y ausencia de </w:t>
      </w:r>
      <w:r w:rsidR="00B827DF" w:rsidRPr="00B827DF">
        <w:rPr>
          <w:rFonts w:ascii="Arial" w:hAnsi="Arial" w:cs="Arial"/>
          <w:color w:val="000000" w:themeColor="text1"/>
          <w:sz w:val="24"/>
          <w:szCs w:val="24"/>
        </w:rPr>
        <w:t>multicolinealidades valores</w:t>
      </w:r>
      <w:r w:rsidRPr="00634580">
        <w:rPr>
          <w:rFonts w:ascii="Arial" w:hAnsi="Arial" w:cs="Arial"/>
          <w:color w:val="000000" w:themeColor="text1"/>
          <w:sz w:val="24"/>
          <w:szCs w:val="24"/>
        </w:rPr>
        <w:t xml:space="preserve"> de </w:t>
      </w:r>
      <w:r w:rsidRPr="00634580">
        <w:rPr>
          <w:rFonts w:ascii="Arial" w:hAnsi="Arial" w:cs="Arial"/>
          <w:color w:val="000000" w:themeColor="text1"/>
          <w:sz w:val="24"/>
          <w:szCs w:val="24"/>
        </w:rPr>
        <w:lastRenderedPageBreak/>
        <w:t xml:space="preserve">factor de inflación variable (VIF) menores a 3, con base en los lineamientos de Hair (2010), para todos los ítems del constructo de investigación. </w:t>
      </w:r>
    </w:p>
    <w:p w14:paraId="3E81130F" w14:textId="77777777" w:rsidR="0093626A" w:rsidRPr="00634580" w:rsidRDefault="00000000" w:rsidP="00634580">
      <w:pPr>
        <w:spacing w:line="360" w:lineRule="auto"/>
        <w:ind w:firstLine="708"/>
        <w:rPr>
          <w:rFonts w:ascii="Arial" w:hAnsi="Arial" w:cs="Arial"/>
          <w:color w:val="000000" w:themeColor="text1"/>
          <w:sz w:val="24"/>
          <w:szCs w:val="24"/>
        </w:rPr>
      </w:pPr>
      <w:r w:rsidRPr="00634580">
        <w:rPr>
          <w:rFonts w:ascii="Arial" w:hAnsi="Arial" w:cs="Arial"/>
          <w:color w:val="000000" w:themeColor="text1"/>
          <w:sz w:val="24"/>
          <w:szCs w:val="24"/>
        </w:rPr>
        <w:t>En el análisis para la composición de la muestra destaca que hubo un 16% más de mujeres respondientes respecto del porcentaje promedio mundial que tiene la industria de O&amp;G en el mundo que es 22% acuerdo a los estudios conjuntos de la empresa Boston Consulting y el Consejo Mundial del Petróleo (Rick, et al., citados en Perks y Schulz,</w:t>
      </w:r>
      <w:sdt>
        <w:sdtPr>
          <w:rPr>
            <w:rFonts w:ascii="Arial" w:hAnsi="Arial" w:cs="Arial"/>
            <w:color w:val="000000" w:themeColor="text1"/>
            <w:sz w:val="24"/>
            <w:szCs w:val="24"/>
          </w:rPr>
          <w:id w:val="-1247887150"/>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CITATION Per201 \n  \t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 xml:space="preserve"> (2020)</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 así como de la Agencia Internacional de Energía (Johstone y Silva,</w:t>
      </w:r>
      <w:sdt>
        <w:sdtPr>
          <w:rPr>
            <w:rFonts w:ascii="Arial" w:hAnsi="Arial" w:cs="Arial"/>
            <w:color w:val="000000" w:themeColor="text1"/>
            <w:sz w:val="24"/>
            <w:szCs w:val="24"/>
          </w:rPr>
          <w:id w:val="-1357345803"/>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CITATION Joh20 \n  \t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 xml:space="preserve"> (2020)</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 lo que representa un hallazgo interesante.</w:t>
      </w:r>
    </w:p>
    <w:p w14:paraId="78C4F0ED" w14:textId="12C85E73" w:rsidR="0093626A" w:rsidRPr="00634580" w:rsidRDefault="00000000" w:rsidP="00634580">
      <w:pPr>
        <w:spacing w:line="360" w:lineRule="auto"/>
        <w:ind w:firstLine="708"/>
        <w:rPr>
          <w:rFonts w:ascii="Arial" w:hAnsi="Arial" w:cs="Arial"/>
          <w:color w:val="000000" w:themeColor="text1"/>
          <w:sz w:val="24"/>
          <w:szCs w:val="24"/>
        </w:rPr>
      </w:pPr>
      <w:r w:rsidRPr="00634580">
        <w:rPr>
          <w:rFonts w:ascii="Arial" w:hAnsi="Arial" w:cs="Arial"/>
          <w:color w:val="000000" w:themeColor="text1"/>
          <w:sz w:val="24"/>
          <w:szCs w:val="24"/>
        </w:rPr>
        <w:t xml:space="preserve">Por otro lado, el 95% de los respondientes está familiarizado con el trabajo por proyectos ya que han formado parte de los equipos como líderes o coordinadores (66%) o como integrantes de equipo (29%) y al menos el 90% percibe que existe soporte organizacional hacia la administración de proyectos en sus empresas o </w:t>
      </w:r>
      <w:r w:rsidR="00B827DF" w:rsidRPr="00B827DF">
        <w:rPr>
          <w:rFonts w:ascii="Arial" w:hAnsi="Arial" w:cs="Arial"/>
          <w:color w:val="000000" w:themeColor="text1"/>
          <w:sz w:val="24"/>
          <w:szCs w:val="24"/>
        </w:rPr>
        <w:t>instituciones (</w:t>
      </w:r>
      <w:r w:rsidRPr="00634580">
        <w:rPr>
          <w:rFonts w:ascii="Arial" w:hAnsi="Arial" w:cs="Arial"/>
          <w:color w:val="000000" w:themeColor="text1"/>
          <w:sz w:val="24"/>
          <w:szCs w:val="24"/>
        </w:rPr>
        <w:t>gráficos en la Figura 3). Estos resultados implican que puede inferirse confianza en las respuestas para la variable de medición en el constructo de investigación.</w:t>
      </w:r>
    </w:p>
    <w:p w14:paraId="365BA311" w14:textId="77777777" w:rsidR="0093626A" w:rsidRPr="00634580" w:rsidRDefault="00000000" w:rsidP="00634580">
      <w:pPr>
        <w:spacing w:line="360" w:lineRule="auto"/>
        <w:rPr>
          <w:rFonts w:ascii="Arial" w:hAnsi="Arial" w:cs="Arial"/>
          <w:color w:val="000000" w:themeColor="text1"/>
          <w:sz w:val="24"/>
          <w:szCs w:val="24"/>
        </w:rPr>
      </w:pPr>
      <w:r w:rsidRPr="00634580">
        <w:rPr>
          <w:rFonts w:ascii="Arial" w:hAnsi="Arial" w:cs="Arial"/>
          <w:b/>
          <w:bCs/>
          <w:color w:val="000000" w:themeColor="text1"/>
          <w:sz w:val="24"/>
          <w:szCs w:val="24"/>
        </w:rPr>
        <w:t>Figura 3.</w:t>
      </w:r>
      <w:r w:rsidRPr="00634580">
        <w:rPr>
          <w:rFonts w:ascii="Arial" w:hAnsi="Arial" w:cs="Arial"/>
          <w:color w:val="000000" w:themeColor="text1"/>
          <w:sz w:val="24"/>
          <w:szCs w:val="24"/>
        </w:rPr>
        <w:t xml:space="preserve"> </w:t>
      </w:r>
      <w:r w:rsidRPr="00634580">
        <w:rPr>
          <w:rFonts w:ascii="Arial" w:hAnsi="Arial" w:cs="Arial"/>
          <w:i/>
          <w:iCs/>
          <w:color w:val="000000" w:themeColor="text1"/>
          <w:sz w:val="24"/>
          <w:szCs w:val="24"/>
        </w:rPr>
        <w:t>Gráficos de composición por (G13) y (G14)</w:t>
      </w:r>
    </w:p>
    <w:p w14:paraId="748B9D76" w14:textId="77777777" w:rsidR="0093626A" w:rsidRPr="00634580" w:rsidRDefault="00000000" w:rsidP="00634580">
      <w:pPr>
        <w:pStyle w:val="APA6a-Nor"/>
        <w:spacing w:line="360" w:lineRule="auto"/>
        <w:rPr>
          <w:rFonts w:ascii="Arial" w:hAnsi="Arial" w:cs="Arial"/>
          <w:color w:val="000000" w:themeColor="text1"/>
          <w:sz w:val="24"/>
          <w:szCs w:val="24"/>
        </w:rPr>
      </w:pPr>
      <w:r w:rsidRPr="00634580">
        <w:rPr>
          <w:rFonts w:ascii="Arial" w:hAnsi="Arial" w:cs="Arial"/>
          <w:noProof/>
          <w:color w:val="000000" w:themeColor="text1"/>
          <w:sz w:val="24"/>
          <w:szCs w:val="24"/>
        </w:rPr>
        <w:drawing>
          <wp:inline distT="0" distB="0" distL="0" distR="0" wp14:anchorId="3DAF7922" wp14:editId="0FC6EADE">
            <wp:extent cx="5809615" cy="1637030"/>
            <wp:effectExtent l="0" t="0" r="635" b="1270"/>
            <wp:docPr id="440046919" name="Imagen 7"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046919" name="Imagen 7" descr="Diagrama&#10;&#10;Descripción generada automáticamente"/>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821619" cy="1640534"/>
                    </a:xfrm>
                    <a:prstGeom prst="rect">
                      <a:avLst/>
                    </a:prstGeom>
                    <a:noFill/>
                  </pic:spPr>
                </pic:pic>
              </a:graphicData>
            </a:graphic>
          </wp:inline>
        </w:drawing>
      </w:r>
    </w:p>
    <w:p w14:paraId="2B24B35A" w14:textId="77777777" w:rsidR="0093626A" w:rsidRPr="00634580" w:rsidRDefault="00000000" w:rsidP="00634580">
      <w:pPr>
        <w:pStyle w:val="APA6a-Nor"/>
        <w:spacing w:before="0" w:after="200" w:line="360" w:lineRule="auto"/>
        <w:rPr>
          <w:rFonts w:ascii="Arial" w:hAnsi="Arial" w:cs="Arial"/>
          <w:color w:val="000000" w:themeColor="text1"/>
          <w:sz w:val="20"/>
          <w:szCs w:val="20"/>
        </w:rPr>
      </w:pPr>
      <w:r w:rsidRPr="00634580">
        <w:rPr>
          <w:rFonts w:ascii="Arial" w:hAnsi="Arial" w:cs="Arial"/>
          <w:color w:val="000000" w:themeColor="text1"/>
          <w:sz w:val="20"/>
          <w:szCs w:val="20"/>
        </w:rPr>
        <w:t>Fuente: Elaboración propia</w:t>
      </w:r>
    </w:p>
    <w:p w14:paraId="3A01445C" w14:textId="77777777" w:rsidR="0093626A" w:rsidRPr="00634580" w:rsidRDefault="00000000" w:rsidP="00634580">
      <w:pPr>
        <w:spacing w:line="360" w:lineRule="auto"/>
        <w:ind w:firstLine="708"/>
        <w:rPr>
          <w:rFonts w:ascii="Arial" w:hAnsi="Arial" w:cs="Arial"/>
          <w:color w:val="000000" w:themeColor="text1"/>
          <w:sz w:val="24"/>
          <w:szCs w:val="24"/>
        </w:rPr>
      </w:pPr>
      <w:r w:rsidRPr="00634580">
        <w:rPr>
          <w:rFonts w:ascii="Arial" w:hAnsi="Arial" w:cs="Arial"/>
          <w:color w:val="000000" w:themeColor="text1"/>
          <w:sz w:val="24"/>
          <w:szCs w:val="24"/>
        </w:rPr>
        <w:t xml:space="preserve">El análisis para la limpieza de datos detectó un total de 58 instrumentos con datos atípicos que se eliminaron, y se procedió al análisis estadístico y factorial con 73 encuestas. </w:t>
      </w:r>
    </w:p>
    <w:p w14:paraId="5DA84DE5" w14:textId="1DD820CD" w:rsidR="0093626A" w:rsidRPr="00634580" w:rsidRDefault="00000000" w:rsidP="00634580">
      <w:pPr>
        <w:spacing w:line="360" w:lineRule="auto"/>
        <w:ind w:firstLine="708"/>
        <w:rPr>
          <w:rFonts w:ascii="Arial" w:hAnsi="Arial" w:cs="Arial"/>
          <w:color w:val="000000" w:themeColor="text1"/>
          <w:sz w:val="24"/>
          <w:szCs w:val="24"/>
        </w:rPr>
      </w:pPr>
      <w:r w:rsidRPr="00634580">
        <w:rPr>
          <w:rFonts w:ascii="Arial" w:hAnsi="Arial" w:cs="Arial"/>
          <w:color w:val="000000" w:themeColor="text1"/>
          <w:sz w:val="24"/>
          <w:szCs w:val="24"/>
        </w:rPr>
        <w:lastRenderedPageBreak/>
        <w:t xml:space="preserve">Los resultados del análisis de validez de criterio con Alpha de Cronbach (AC) para </w:t>
      </w:r>
      <w:r w:rsidR="00B827DF" w:rsidRPr="00B827DF">
        <w:rPr>
          <w:rFonts w:ascii="Arial" w:hAnsi="Arial" w:cs="Arial"/>
          <w:color w:val="000000" w:themeColor="text1"/>
          <w:sz w:val="24"/>
          <w:szCs w:val="24"/>
        </w:rPr>
        <w:t>las variables</w:t>
      </w:r>
      <w:r w:rsidRPr="00634580">
        <w:rPr>
          <w:rFonts w:ascii="Arial" w:hAnsi="Arial" w:cs="Arial"/>
          <w:color w:val="000000" w:themeColor="text1"/>
          <w:sz w:val="24"/>
          <w:szCs w:val="24"/>
        </w:rPr>
        <w:t xml:space="preserve"> de medición alcanzaron un buen nivel de significancia con un AC= 0.96, como se muestra en la Tabla 3, sin necesidad de eliminar ítems, Hair </w:t>
      </w:r>
      <w:sdt>
        <w:sdtPr>
          <w:rPr>
            <w:rFonts w:ascii="Arial" w:hAnsi="Arial" w:cs="Arial"/>
            <w:color w:val="000000" w:themeColor="text1"/>
            <w:sz w:val="24"/>
            <w:szCs w:val="24"/>
          </w:rPr>
          <w:id w:val="-1136028509"/>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CITATION Hai10 \n  \t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(2010)</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w:t>
      </w:r>
    </w:p>
    <w:p w14:paraId="1CC1272E" w14:textId="77777777" w:rsidR="0093626A" w:rsidRPr="00634580" w:rsidRDefault="00000000" w:rsidP="00634580">
      <w:pPr>
        <w:pStyle w:val="APA6a-Nor"/>
        <w:spacing w:before="120" w:line="360" w:lineRule="auto"/>
        <w:rPr>
          <w:rFonts w:ascii="Arial" w:hAnsi="Arial" w:cs="Arial"/>
          <w:i/>
          <w:iCs/>
          <w:color w:val="000000" w:themeColor="text1"/>
          <w:sz w:val="24"/>
          <w:szCs w:val="24"/>
        </w:rPr>
      </w:pPr>
      <w:r w:rsidRPr="00634580">
        <w:rPr>
          <w:rFonts w:ascii="Arial" w:hAnsi="Arial" w:cs="Arial"/>
          <w:b/>
          <w:bCs/>
          <w:color w:val="000000" w:themeColor="text1"/>
          <w:sz w:val="24"/>
          <w:szCs w:val="24"/>
        </w:rPr>
        <w:t xml:space="preserve">Tabla 3. </w:t>
      </w:r>
      <w:r w:rsidRPr="00634580">
        <w:rPr>
          <w:rFonts w:ascii="Arial" w:hAnsi="Arial" w:cs="Arial"/>
          <w:i/>
          <w:iCs/>
          <w:color w:val="000000" w:themeColor="text1"/>
          <w:sz w:val="24"/>
          <w:szCs w:val="24"/>
        </w:rPr>
        <w:t>Análisis y resultado de Confiabilidad y Validez con Alpha de Cronbach</w:t>
      </w:r>
    </w:p>
    <w:tbl>
      <w:tblPr>
        <w:tblW w:w="8140" w:type="dxa"/>
        <w:tblCellMar>
          <w:left w:w="70" w:type="dxa"/>
          <w:right w:w="70" w:type="dxa"/>
        </w:tblCellMar>
        <w:tblLook w:val="04A0" w:firstRow="1" w:lastRow="0" w:firstColumn="1" w:lastColumn="0" w:noHBand="0" w:noVBand="1"/>
      </w:tblPr>
      <w:tblGrid>
        <w:gridCol w:w="1160"/>
        <w:gridCol w:w="1274"/>
        <w:gridCol w:w="780"/>
        <w:gridCol w:w="780"/>
        <w:gridCol w:w="1540"/>
        <w:gridCol w:w="850"/>
        <w:gridCol w:w="850"/>
        <w:gridCol w:w="1020"/>
      </w:tblGrid>
      <w:tr w:rsidR="00E124A8" w:rsidRPr="00E124A8" w14:paraId="6C78F8D4" w14:textId="77777777">
        <w:trPr>
          <w:trHeight w:val="900"/>
        </w:trPr>
        <w:tc>
          <w:tcPr>
            <w:tcW w:w="1160" w:type="dxa"/>
            <w:tcBorders>
              <w:top w:val="single" w:sz="4" w:space="0" w:color="auto"/>
              <w:left w:val="nil"/>
              <w:bottom w:val="single" w:sz="4" w:space="0" w:color="auto"/>
              <w:right w:val="nil"/>
            </w:tcBorders>
            <w:vAlign w:val="center"/>
          </w:tcPr>
          <w:p w14:paraId="3908D326"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Núm. Ítems Inicial</w:t>
            </w:r>
          </w:p>
        </w:tc>
        <w:tc>
          <w:tcPr>
            <w:tcW w:w="1160" w:type="dxa"/>
            <w:tcBorders>
              <w:top w:val="single" w:sz="4" w:space="0" w:color="auto"/>
              <w:left w:val="nil"/>
              <w:bottom w:val="single" w:sz="4" w:space="0" w:color="auto"/>
              <w:right w:val="nil"/>
            </w:tcBorders>
            <w:vAlign w:val="center"/>
          </w:tcPr>
          <w:p w14:paraId="22991E91"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Dimensión</w:t>
            </w:r>
          </w:p>
        </w:tc>
        <w:tc>
          <w:tcPr>
            <w:tcW w:w="1560" w:type="dxa"/>
            <w:gridSpan w:val="2"/>
            <w:tcBorders>
              <w:top w:val="single" w:sz="4" w:space="0" w:color="auto"/>
              <w:left w:val="nil"/>
              <w:bottom w:val="single" w:sz="4" w:space="0" w:color="auto"/>
              <w:right w:val="nil"/>
            </w:tcBorders>
            <w:vAlign w:val="center"/>
          </w:tcPr>
          <w:p w14:paraId="67365845"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AC Inicial</w:t>
            </w:r>
          </w:p>
        </w:tc>
        <w:tc>
          <w:tcPr>
            <w:tcW w:w="1540" w:type="dxa"/>
            <w:tcBorders>
              <w:top w:val="single" w:sz="4" w:space="0" w:color="auto"/>
              <w:left w:val="nil"/>
              <w:bottom w:val="single" w:sz="4" w:space="0" w:color="auto"/>
              <w:right w:val="nil"/>
            </w:tcBorders>
            <w:vAlign w:val="center"/>
          </w:tcPr>
          <w:p w14:paraId="2AE546BA"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Ítems Eliminados</w:t>
            </w:r>
          </w:p>
        </w:tc>
        <w:tc>
          <w:tcPr>
            <w:tcW w:w="1700" w:type="dxa"/>
            <w:gridSpan w:val="2"/>
            <w:tcBorders>
              <w:top w:val="single" w:sz="4" w:space="0" w:color="auto"/>
              <w:left w:val="nil"/>
              <w:bottom w:val="single" w:sz="4" w:space="0" w:color="auto"/>
              <w:right w:val="nil"/>
            </w:tcBorders>
            <w:vAlign w:val="center"/>
          </w:tcPr>
          <w:p w14:paraId="38D72A7B"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AC Final</w:t>
            </w:r>
          </w:p>
        </w:tc>
        <w:tc>
          <w:tcPr>
            <w:tcW w:w="1020" w:type="dxa"/>
            <w:tcBorders>
              <w:top w:val="single" w:sz="4" w:space="0" w:color="auto"/>
              <w:left w:val="nil"/>
              <w:bottom w:val="single" w:sz="4" w:space="0" w:color="auto"/>
              <w:right w:val="nil"/>
            </w:tcBorders>
            <w:vAlign w:val="center"/>
          </w:tcPr>
          <w:p w14:paraId="31859384"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Núm. Ítems Final</w:t>
            </w:r>
          </w:p>
        </w:tc>
      </w:tr>
      <w:tr w:rsidR="00E124A8" w:rsidRPr="00E124A8" w14:paraId="1EAC739D" w14:textId="77777777">
        <w:trPr>
          <w:trHeight w:val="310"/>
        </w:trPr>
        <w:tc>
          <w:tcPr>
            <w:tcW w:w="1160" w:type="dxa"/>
            <w:tcBorders>
              <w:top w:val="nil"/>
              <w:left w:val="single" w:sz="4" w:space="0" w:color="auto"/>
              <w:bottom w:val="single" w:sz="4" w:space="0" w:color="auto"/>
              <w:right w:val="single" w:sz="4" w:space="0" w:color="auto"/>
            </w:tcBorders>
            <w:noWrap/>
            <w:vAlign w:val="center"/>
          </w:tcPr>
          <w:p w14:paraId="77EEE0F6"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5</w:t>
            </w:r>
          </w:p>
        </w:tc>
        <w:tc>
          <w:tcPr>
            <w:tcW w:w="1160" w:type="dxa"/>
            <w:tcBorders>
              <w:top w:val="nil"/>
              <w:left w:val="nil"/>
              <w:bottom w:val="single" w:sz="4" w:space="0" w:color="auto"/>
              <w:right w:val="single" w:sz="4" w:space="0" w:color="auto"/>
            </w:tcBorders>
            <w:noWrap/>
            <w:vAlign w:val="bottom"/>
          </w:tcPr>
          <w:p w14:paraId="223938A0"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NP</w:t>
            </w:r>
          </w:p>
        </w:tc>
        <w:tc>
          <w:tcPr>
            <w:tcW w:w="780" w:type="dxa"/>
            <w:tcBorders>
              <w:top w:val="nil"/>
              <w:left w:val="nil"/>
              <w:bottom w:val="single" w:sz="4" w:space="0" w:color="auto"/>
              <w:right w:val="single" w:sz="4" w:space="0" w:color="auto"/>
            </w:tcBorders>
            <w:noWrap/>
            <w:vAlign w:val="bottom"/>
          </w:tcPr>
          <w:p w14:paraId="083E2453"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0.94</w:t>
            </w:r>
          </w:p>
        </w:tc>
        <w:tc>
          <w:tcPr>
            <w:tcW w:w="780" w:type="dxa"/>
            <w:vMerge w:val="restart"/>
            <w:tcBorders>
              <w:top w:val="nil"/>
              <w:left w:val="single" w:sz="4" w:space="0" w:color="auto"/>
              <w:bottom w:val="single" w:sz="4" w:space="0" w:color="auto"/>
              <w:right w:val="single" w:sz="4" w:space="0" w:color="auto"/>
            </w:tcBorders>
            <w:noWrap/>
            <w:vAlign w:val="center"/>
          </w:tcPr>
          <w:p w14:paraId="53044198"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0.96</w:t>
            </w:r>
          </w:p>
        </w:tc>
        <w:tc>
          <w:tcPr>
            <w:tcW w:w="1540" w:type="dxa"/>
            <w:tcBorders>
              <w:top w:val="nil"/>
              <w:left w:val="nil"/>
              <w:bottom w:val="single" w:sz="4" w:space="0" w:color="auto"/>
              <w:right w:val="single" w:sz="4" w:space="0" w:color="auto"/>
            </w:tcBorders>
            <w:noWrap/>
            <w:vAlign w:val="bottom"/>
          </w:tcPr>
          <w:p w14:paraId="65553BF5"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Ninguno</w:t>
            </w:r>
          </w:p>
        </w:tc>
        <w:tc>
          <w:tcPr>
            <w:tcW w:w="850" w:type="dxa"/>
            <w:tcBorders>
              <w:top w:val="nil"/>
              <w:left w:val="nil"/>
              <w:bottom w:val="single" w:sz="4" w:space="0" w:color="auto"/>
              <w:right w:val="single" w:sz="4" w:space="0" w:color="auto"/>
            </w:tcBorders>
            <w:noWrap/>
            <w:vAlign w:val="bottom"/>
          </w:tcPr>
          <w:p w14:paraId="11EA1ABF"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0.94</w:t>
            </w:r>
          </w:p>
        </w:tc>
        <w:tc>
          <w:tcPr>
            <w:tcW w:w="850" w:type="dxa"/>
            <w:vMerge w:val="restart"/>
            <w:tcBorders>
              <w:top w:val="nil"/>
              <w:left w:val="single" w:sz="4" w:space="0" w:color="auto"/>
              <w:bottom w:val="single" w:sz="4" w:space="0" w:color="000000"/>
              <w:right w:val="single" w:sz="4" w:space="0" w:color="auto"/>
            </w:tcBorders>
            <w:noWrap/>
            <w:vAlign w:val="center"/>
          </w:tcPr>
          <w:p w14:paraId="5D10C4B6"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0.96</w:t>
            </w:r>
          </w:p>
        </w:tc>
        <w:tc>
          <w:tcPr>
            <w:tcW w:w="1020" w:type="dxa"/>
            <w:tcBorders>
              <w:top w:val="nil"/>
              <w:left w:val="nil"/>
              <w:bottom w:val="single" w:sz="4" w:space="0" w:color="auto"/>
              <w:right w:val="single" w:sz="4" w:space="0" w:color="auto"/>
            </w:tcBorders>
            <w:noWrap/>
            <w:vAlign w:val="bottom"/>
          </w:tcPr>
          <w:p w14:paraId="67576437"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5</w:t>
            </w:r>
          </w:p>
        </w:tc>
      </w:tr>
      <w:tr w:rsidR="00E124A8" w:rsidRPr="00E124A8" w14:paraId="5B24BBA8" w14:textId="77777777">
        <w:trPr>
          <w:trHeight w:val="310"/>
        </w:trPr>
        <w:tc>
          <w:tcPr>
            <w:tcW w:w="1160" w:type="dxa"/>
            <w:tcBorders>
              <w:top w:val="nil"/>
              <w:left w:val="single" w:sz="4" w:space="0" w:color="auto"/>
              <w:bottom w:val="single" w:sz="4" w:space="0" w:color="auto"/>
              <w:right w:val="single" w:sz="4" w:space="0" w:color="auto"/>
            </w:tcBorders>
            <w:noWrap/>
            <w:vAlign w:val="center"/>
          </w:tcPr>
          <w:p w14:paraId="58DC1B83"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6</w:t>
            </w:r>
          </w:p>
        </w:tc>
        <w:tc>
          <w:tcPr>
            <w:tcW w:w="1160" w:type="dxa"/>
            <w:tcBorders>
              <w:top w:val="nil"/>
              <w:left w:val="nil"/>
              <w:bottom w:val="single" w:sz="4" w:space="0" w:color="auto"/>
              <w:right w:val="single" w:sz="4" w:space="0" w:color="auto"/>
            </w:tcBorders>
            <w:noWrap/>
            <w:vAlign w:val="bottom"/>
          </w:tcPr>
          <w:p w14:paraId="0F184364"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NE</w:t>
            </w:r>
          </w:p>
        </w:tc>
        <w:tc>
          <w:tcPr>
            <w:tcW w:w="780" w:type="dxa"/>
            <w:tcBorders>
              <w:top w:val="nil"/>
              <w:left w:val="nil"/>
              <w:bottom w:val="single" w:sz="4" w:space="0" w:color="auto"/>
              <w:right w:val="single" w:sz="4" w:space="0" w:color="auto"/>
            </w:tcBorders>
            <w:noWrap/>
            <w:vAlign w:val="bottom"/>
          </w:tcPr>
          <w:p w14:paraId="30DDFBCA"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0.92</w:t>
            </w:r>
          </w:p>
        </w:tc>
        <w:tc>
          <w:tcPr>
            <w:tcW w:w="780" w:type="dxa"/>
            <w:vMerge/>
            <w:tcBorders>
              <w:top w:val="nil"/>
              <w:left w:val="single" w:sz="4" w:space="0" w:color="auto"/>
              <w:bottom w:val="single" w:sz="4" w:space="0" w:color="auto"/>
              <w:right w:val="single" w:sz="4" w:space="0" w:color="auto"/>
            </w:tcBorders>
            <w:vAlign w:val="center"/>
          </w:tcPr>
          <w:p w14:paraId="4F115185" w14:textId="77777777" w:rsidR="0093626A" w:rsidRPr="00634580" w:rsidRDefault="0093626A" w:rsidP="00634580">
            <w:pPr>
              <w:spacing w:line="360" w:lineRule="auto"/>
              <w:rPr>
                <w:rFonts w:ascii="Arial" w:eastAsia="Times New Roman" w:hAnsi="Arial" w:cs="Arial"/>
                <w:color w:val="000000" w:themeColor="text1"/>
                <w:sz w:val="24"/>
                <w:szCs w:val="24"/>
                <w:lang w:eastAsia="es-MX"/>
              </w:rPr>
            </w:pPr>
          </w:p>
        </w:tc>
        <w:tc>
          <w:tcPr>
            <w:tcW w:w="1540" w:type="dxa"/>
            <w:tcBorders>
              <w:top w:val="nil"/>
              <w:left w:val="nil"/>
              <w:bottom w:val="single" w:sz="4" w:space="0" w:color="auto"/>
              <w:right w:val="single" w:sz="4" w:space="0" w:color="auto"/>
            </w:tcBorders>
            <w:noWrap/>
            <w:vAlign w:val="bottom"/>
          </w:tcPr>
          <w:p w14:paraId="66712CB0"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Ninguno</w:t>
            </w:r>
          </w:p>
        </w:tc>
        <w:tc>
          <w:tcPr>
            <w:tcW w:w="850" w:type="dxa"/>
            <w:tcBorders>
              <w:top w:val="nil"/>
              <w:left w:val="nil"/>
              <w:bottom w:val="single" w:sz="4" w:space="0" w:color="auto"/>
              <w:right w:val="single" w:sz="4" w:space="0" w:color="auto"/>
            </w:tcBorders>
            <w:noWrap/>
            <w:vAlign w:val="bottom"/>
          </w:tcPr>
          <w:p w14:paraId="1ECC3FD2"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0.92</w:t>
            </w:r>
          </w:p>
        </w:tc>
        <w:tc>
          <w:tcPr>
            <w:tcW w:w="850" w:type="dxa"/>
            <w:vMerge/>
            <w:tcBorders>
              <w:top w:val="nil"/>
              <w:left w:val="single" w:sz="4" w:space="0" w:color="auto"/>
              <w:bottom w:val="single" w:sz="4" w:space="0" w:color="000000"/>
              <w:right w:val="single" w:sz="4" w:space="0" w:color="auto"/>
            </w:tcBorders>
            <w:vAlign w:val="center"/>
          </w:tcPr>
          <w:p w14:paraId="1CB913A3" w14:textId="77777777" w:rsidR="0093626A" w:rsidRPr="00634580" w:rsidRDefault="0093626A" w:rsidP="00634580">
            <w:pPr>
              <w:spacing w:line="360" w:lineRule="auto"/>
              <w:rPr>
                <w:rFonts w:ascii="Arial" w:eastAsia="Times New Roman" w:hAnsi="Arial" w:cs="Arial"/>
                <w:color w:val="000000" w:themeColor="text1"/>
                <w:sz w:val="24"/>
                <w:szCs w:val="24"/>
                <w:lang w:eastAsia="es-MX"/>
              </w:rPr>
            </w:pPr>
          </w:p>
        </w:tc>
        <w:tc>
          <w:tcPr>
            <w:tcW w:w="1020" w:type="dxa"/>
            <w:tcBorders>
              <w:top w:val="nil"/>
              <w:left w:val="nil"/>
              <w:bottom w:val="single" w:sz="4" w:space="0" w:color="auto"/>
              <w:right w:val="single" w:sz="4" w:space="0" w:color="auto"/>
            </w:tcBorders>
            <w:noWrap/>
            <w:vAlign w:val="bottom"/>
          </w:tcPr>
          <w:p w14:paraId="03331E79"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6</w:t>
            </w:r>
          </w:p>
        </w:tc>
      </w:tr>
      <w:tr w:rsidR="00E124A8" w:rsidRPr="00E124A8" w14:paraId="306E7FDC" w14:textId="77777777">
        <w:trPr>
          <w:trHeight w:val="290"/>
        </w:trPr>
        <w:tc>
          <w:tcPr>
            <w:tcW w:w="1160" w:type="dxa"/>
            <w:tcBorders>
              <w:top w:val="nil"/>
              <w:left w:val="nil"/>
              <w:bottom w:val="nil"/>
              <w:right w:val="nil"/>
            </w:tcBorders>
            <w:noWrap/>
            <w:vAlign w:val="bottom"/>
          </w:tcPr>
          <w:p w14:paraId="2B40029D"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11</w:t>
            </w:r>
          </w:p>
        </w:tc>
        <w:tc>
          <w:tcPr>
            <w:tcW w:w="5960" w:type="dxa"/>
            <w:gridSpan w:val="6"/>
            <w:tcBorders>
              <w:top w:val="single" w:sz="4" w:space="0" w:color="auto"/>
              <w:left w:val="nil"/>
              <w:bottom w:val="nil"/>
              <w:right w:val="nil"/>
            </w:tcBorders>
            <w:noWrap/>
            <w:vAlign w:val="bottom"/>
          </w:tcPr>
          <w:p w14:paraId="51B0FEB3" w14:textId="7BAC1DCE" w:rsidR="0093626A" w:rsidRPr="00634580" w:rsidRDefault="00B827DF" w:rsidP="00634580">
            <w:pPr>
              <w:spacing w:line="360" w:lineRule="auto"/>
              <w:jc w:val="center"/>
              <w:rPr>
                <w:rFonts w:ascii="Arial" w:eastAsia="Times New Roman" w:hAnsi="Arial" w:cs="Arial"/>
                <w:color w:val="000000" w:themeColor="text1"/>
                <w:sz w:val="24"/>
                <w:szCs w:val="24"/>
                <w:lang w:eastAsia="es-MX"/>
              </w:rPr>
            </w:pPr>
            <w:r w:rsidRPr="00B827DF">
              <w:rPr>
                <w:rFonts w:ascii="Arial" w:eastAsia="Times New Roman" w:hAnsi="Arial" w:cs="Arial"/>
                <w:color w:val="000000" w:themeColor="text1"/>
                <w:sz w:val="24"/>
                <w:szCs w:val="24"/>
                <w:lang w:eastAsia="es-MX"/>
              </w:rPr>
              <w:t>Total</w:t>
            </w:r>
            <w:r w:rsidR="00000000" w:rsidRPr="00634580">
              <w:rPr>
                <w:rFonts w:ascii="Arial" w:eastAsia="Times New Roman" w:hAnsi="Arial" w:cs="Arial"/>
                <w:color w:val="000000" w:themeColor="text1"/>
                <w:sz w:val="24"/>
                <w:szCs w:val="24"/>
                <w:lang w:eastAsia="es-MX"/>
              </w:rPr>
              <w:t xml:space="preserve"> de ítems de la variable DAP</w:t>
            </w:r>
          </w:p>
        </w:tc>
        <w:tc>
          <w:tcPr>
            <w:tcW w:w="1020" w:type="dxa"/>
            <w:tcBorders>
              <w:top w:val="nil"/>
              <w:left w:val="nil"/>
              <w:bottom w:val="nil"/>
              <w:right w:val="nil"/>
            </w:tcBorders>
            <w:noWrap/>
            <w:vAlign w:val="bottom"/>
          </w:tcPr>
          <w:p w14:paraId="0E2805AD"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11</w:t>
            </w:r>
          </w:p>
        </w:tc>
      </w:tr>
    </w:tbl>
    <w:p w14:paraId="1A2BF5BD" w14:textId="77777777" w:rsidR="0093626A" w:rsidRPr="00634580" w:rsidRDefault="00000000" w:rsidP="00634580">
      <w:pPr>
        <w:pStyle w:val="APA6a-Nor"/>
        <w:spacing w:before="0" w:line="360" w:lineRule="auto"/>
        <w:rPr>
          <w:rFonts w:ascii="Arial" w:hAnsi="Arial" w:cs="Arial"/>
          <w:color w:val="000000" w:themeColor="text1"/>
          <w:sz w:val="20"/>
          <w:szCs w:val="20"/>
        </w:rPr>
      </w:pPr>
      <w:r w:rsidRPr="00634580">
        <w:rPr>
          <w:rFonts w:ascii="Arial" w:hAnsi="Arial" w:cs="Arial"/>
          <w:color w:val="000000" w:themeColor="text1"/>
          <w:sz w:val="20"/>
          <w:szCs w:val="20"/>
        </w:rPr>
        <w:t>Fuente: Elaboración propia</w:t>
      </w:r>
    </w:p>
    <w:p w14:paraId="237F0CD5" w14:textId="77777777" w:rsidR="0093626A" w:rsidRPr="00634580" w:rsidRDefault="00000000" w:rsidP="00634580">
      <w:pPr>
        <w:spacing w:line="360" w:lineRule="auto"/>
        <w:ind w:firstLine="708"/>
        <w:rPr>
          <w:rFonts w:ascii="Arial" w:hAnsi="Arial" w:cs="Arial"/>
          <w:color w:val="000000" w:themeColor="text1"/>
          <w:sz w:val="24"/>
          <w:szCs w:val="24"/>
        </w:rPr>
      </w:pPr>
      <w:r w:rsidRPr="00634580">
        <w:rPr>
          <w:rFonts w:ascii="Arial" w:hAnsi="Arial" w:cs="Arial"/>
          <w:color w:val="000000" w:themeColor="text1"/>
          <w:sz w:val="24"/>
          <w:szCs w:val="24"/>
        </w:rPr>
        <w:t xml:space="preserve">Con los resultados del Análisis Factorial Confirmatorio (AFC), de acuerdo con Hair </w:t>
      </w:r>
      <w:sdt>
        <w:sdtPr>
          <w:rPr>
            <w:rFonts w:ascii="Arial" w:hAnsi="Arial" w:cs="Arial"/>
            <w:color w:val="000000" w:themeColor="text1"/>
            <w:sz w:val="24"/>
            <w:szCs w:val="24"/>
          </w:rPr>
          <w:id w:val="1794937591"/>
        </w:sdtPr>
        <w:sdtContent>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rPr>
            <w:instrText xml:space="preserve">CITATION Hai10 \n  \t  \l 2058 </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rPr>
            <w:t>(2010)</w:t>
          </w:r>
          <w:r w:rsidRPr="00634580">
            <w:rPr>
              <w:rFonts w:ascii="Arial" w:hAnsi="Arial" w:cs="Arial"/>
              <w:color w:val="000000" w:themeColor="text1"/>
              <w:sz w:val="24"/>
              <w:szCs w:val="24"/>
            </w:rPr>
            <w:fldChar w:fldCharType="end"/>
          </w:r>
        </w:sdtContent>
      </w:sdt>
      <w:r w:rsidRPr="00634580">
        <w:rPr>
          <w:rFonts w:ascii="Arial" w:hAnsi="Arial" w:cs="Arial"/>
          <w:color w:val="000000" w:themeColor="text1"/>
          <w:sz w:val="24"/>
          <w:szCs w:val="24"/>
        </w:rPr>
        <w:t xml:space="preserve">, se comprobó validez en la relación que los ítems tienen con su variable de medición correspondiente: para el Test de Esfericidad de Barlett los resultados de significancia fueron menores a 0.05, mientas que para el coeficiente de Kaiser-Meyer-Olkin (KMO) los valores mayores a 0.6 se consideran aceptables, y entre más cercanos a 1 son de nivel bueno (Tabla 4). </w:t>
      </w:r>
    </w:p>
    <w:p w14:paraId="5C1C118E" w14:textId="77777777" w:rsidR="0093626A" w:rsidRPr="00634580" w:rsidRDefault="00000000" w:rsidP="00634580">
      <w:pPr>
        <w:pStyle w:val="APA6a-Nor"/>
        <w:spacing w:line="360" w:lineRule="auto"/>
        <w:rPr>
          <w:rFonts w:ascii="Arial" w:hAnsi="Arial" w:cs="Arial"/>
          <w:color w:val="000000" w:themeColor="text1"/>
          <w:sz w:val="24"/>
          <w:szCs w:val="24"/>
        </w:rPr>
      </w:pPr>
      <w:r w:rsidRPr="00634580">
        <w:rPr>
          <w:rFonts w:ascii="Arial" w:hAnsi="Arial" w:cs="Arial"/>
          <w:b/>
          <w:bCs/>
          <w:color w:val="000000" w:themeColor="text1"/>
          <w:sz w:val="24"/>
          <w:szCs w:val="24"/>
        </w:rPr>
        <w:t>Tabla 4.</w:t>
      </w:r>
      <w:r w:rsidRPr="00634580">
        <w:rPr>
          <w:rFonts w:ascii="Arial" w:hAnsi="Arial" w:cs="Arial"/>
          <w:color w:val="000000" w:themeColor="text1"/>
          <w:sz w:val="24"/>
          <w:szCs w:val="24"/>
        </w:rPr>
        <w:t xml:space="preserve"> </w:t>
      </w:r>
      <w:r w:rsidRPr="00634580">
        <w:rPr>
          <w:rFonts w:ascii="Arial" w:hAnsi="Arial" w:cs="Arial"/>
          <w:i/>
          <w:iCs/>
          <w:color w:val="000000" w:themeColor="text1"/>
          <w:sz w:val="24"/>
          <w:szCs w:val="24"/>
        </w:rPr>
        <w:t>Resultados de Test de Barlett y Coeficiente KMO para RyC y GC</w:t>
      </w:r>
    </w:p>
    <w:tbl>
      <w:tblPr>
        <w:tblW w:w="8931" w:type="dxa"/>
        <w:tblCellMar>
          <w:left w:w="70" w:type="dxa"/>
          <w:right w:w="70" w:type="dxa"/>
        </w:tblCellMar>
        <w:tblLook w:val="04A0" w:firstRow="1" w:lastRow="0" w:firstColumn="1" w:lastColumn="0" w:noHBand="0" w:noVBand="1"/>
      </w:tblPr>
      <w:tblGrid>
        <w:gridCol w:w="4536"/>
        <w:gridCol w:w="2127"/>
        <w:gridCol w:w="2268"/>
      </w:tblGrid>
      <w:tr w:rsidR="00E124A8" w:rsidRPr="00E124A8" w14:paraId="3E59214C" w14:textId="77777777">
        <w:trPr>
          <w:trHeight w:val="380"/>
        </w:trPr>
        <w:tc>
          <w:tcPr>
            <w:tcW w:w="4536" w:type="dxa"/>
            <w:tcBorders>
              <w:top w:val="nil"/>
              <w:left w:val="nil"/>
              <w:bottom w:val="double" w:sz="6" w:space="0" w:color="auto"/>
              <w:right w:val="nil"/>
            </w:tcBorders>
            <w:noWrap/>
            <w:vAlign w:val="bottom"/>
          </w:tcPr>
          <w:p w14:paraId="3BDA6E0C" w14:textId="77777777" w:rsidR="0093626A" w:rsidRPr="00634580" w:rsidRDefault="00000000" w:rsidP="00634580">
            <w:pPr>
              <w:spacing w:line="360" w:lineRule="auto"/>
              <w:jc w:val="center"/>
              <w:rPr>
                <w:rFonts w:ascii="Arial" w:eastAsia="Times New Roman" w:hAnsi="Arial" w:cs="Arial"/>
                <w:b/>
                <w:bCs/>
                <w:color w:val="000000" w:themeColor="text1"/>
                <w:sz w:val="24"/>
                <w:szCs w:val="24"/>
                <w:lang w:eastAsia="es-MX"/>
              </w:rPr>
            </w:pPr>
            <w:r w:rsidRPr="00634580">
              <w:rPr>
                <w:rFonts w:ascii="Arial" w:eastAsia="Times New Roman" w:hAnsi="Arial" w:cs="Arial"/>
                <w:b/>
                <w:bCs/>
                <w:color w:val="000000" w:themeColor="text1"/>
                <w:sz w:val="24"/>
                <w:szCs w:val="24"/>
                <w:lang w:eastAsia="es-MX"/>
              </w:rPr>
              <w:t>Prueba</w:t>
            </w:r>
          </w:p>
        </w:tc>
        <w:tc>
          <w:tcPr>
            <w:tcW w:w="2127" w:type="dxa"/>
            <w:tcBorders>
              <w:top w:val="nil"/>
              <w:left w:val="nil"/>
              <w:bottom w:val="double" w:sz="6" w:space="0" w:color="auto"/>
              <w:right w:val="nil"/>
            </w:tcBorders>
            <w:noWrap/>
            <w:vAlign w:val="bottom"/>
          </w:tcPr>
          <w:p w14:paraId="45BC86B2" w14:textId="77777777" w:rsidR="0093626A" w:rsidRPr="00634580" w:rsidRDefault="00000000" w:rsidP="00634580">
            <w:pPr>
              <w:spacing w:line="360" w:lineRule="auto"/>
              <w:jc w:val="center"/>
              <w:rPr>
                <w:rFonts w:ascii="Arial" w:eastAsia="Times New Roman" w:hAnsi="Arial" w:cs="Arial"/>
                <w:b/>
                <w:bCs/>
                <w:color w:val="000000" w:themeColor="text1"/>
                <w:sz w:val="24"/>
                <w:szCs w:val="24"/>
                <w:lang w:eastAsia="es-MX"/>
              </w:rPr>
            </w:pPr>
            <w:r w:rsidRPr="00634580">
              <w:rPr>
                <w:rFonts w:ascii="Arial" w:eastAsia="Times New Roman" w:hAnsi="Arial" w:cs="Arial"/>
                <w:b/>
                <w:bCs/>
                <w:color w:val="000000" w:themeColor="text1"/>
                <w:sz w:val="24"/>
                <w:szCs w:val="24"/>
                <w:lang w:eastAsia="es-MX"/>
              </w:rPr>
              <w:t>Valor</w:t>
            </w:r>
          </w:p>
        </w:tc>
        <w:tc>
          <w:tcPr>
            <w:tcW w:w="2268" w:type="dxa"/>
            <w:tcBorders>
              <w:top w:val="nil"/>
              <w:left w:val="nil"/>
              <w:bottom w:val="double" w:sz="6" w:space="0" w:color="auto"/>
              <w:right w:val="nil"/>
            </w:tcBorders>
            <w:noWrap/>
            <w:vAlign w:val="bottom"/>
          </w:tcPr>
          <w:p w14:paraId="6C882750" w14:textId="77777777" w:rsidR="0093626A" w:rsidRPr="00634580" w:rsidRDefault="00000000" w:rsidP="00634580">
            <w:pPr>
              <w:spacing w:line="360" w:lineRule="auto"/>
              <w:rPr>
                <w:rFonts w:ascii="Arial" w:eastAsia="Times New Roman" w:hAnsi="Arial" w:cs="Arial"/>
                <w:b/>
                <w:bCs/>
                <w:color w:val="000000" w:themeColor="text1"/>
                <w:sz w:val="24"/>
                <w:szCs w:val="24"/>
                <w:lang w:eastAsia="es-MX"/>
              </w:rPr>
            </w:pPr>
            <w:r w:rsidRPr="00634580">
              <w:rPr>
                <w:rFonts w:ascii="Arial" w:eastAsia="Times New Roman" w:hAnsi="Arial" w:cs="Arial"/>
                <w:b/>
                <w:bCs/>
                <w:color w:val="000000" w:themeColor="text1"/>
                <w:sz w:val="24"/>
                <w:szCs w:val="24"/>
                <w:lang w:eastAsia="es-MX"/>
              </w:rPr>
              <w:t> </w:t>
            </w:r>
          </w:p>
        </w:tc>
      </w:tr>
      <w:tr w:rsidR="00E124A8" w:rsidRPr="00E124A8" w14:paraId="0F01AD1F" w14:textId="77777777">
        <w:trPr>
          <w:trHeight w:val="370"/>
        </w:trPr>
        <w:tc>
          <w:tcPr>
            <w:tcW w:w="4536" w:type="dxa"/>
            <w:tcBorders>
              <w:top w:val="nil"/>
              <w:left w:val="nil"/>
              <w:bottom w:val="nil"/>
              <w:right w:val="nil"/>
            </w:tcBorders>
            <w:noWrap/>
            <w:vAlign w:val="bottom"/>
          </w:tcPr>
          <w:p w14:paraId="7C5F368C" w14:textId="77777777" w:rsidR="0093626A" w:rsidRPr="00634580" w:rsidRDefault="00000000" w:rsidP="00634580">
            <w:pPr>
              <w:spacing w:line="360" w:lineRule="auto"/>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 xml:space="preserve">Test de Esfericidad de Barlett </w:t>
            </w:r>
          </w:p>
        </w:tc>
        <w:tc>
          <w:tcPr>
            <w:tcW w:w="2127" w:type="dxa"/>
            <w:tcBorders>
              <w:top w:val="nil"/>
              <w:left w:val="nil"/>
              <w:bottom w:val="nil"/>
              <w:right w:val="nil"/>
            </w:tcBorders>
            <w:noWrap/>
            <w:vAlign w:val="bottom"/>
          </w:tcPr>
          <w:p w14:paraId="6BBCA62C"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&lt;.001</w:t>
            </w:r>
          </w:p>
        </w:tc>
        <w:tc>
          <w:tcPr>
            <w:tcW w:w="2268" w:type="dxa"/>
            <w:tcBorders>
              <w:top w:val="nil"/>
              <w:left w:val="nil"/>
              <w:bottom w:val="nil"/>
              <w:right w:val="nil"/>
            </w:tcBorders>
            <w:noWrap/>
            <w:vAlign w:val="bottom"/>
          </w:tcPr>
          <w:p w14:paraId="3F3FD601" w14:textId="77777777" w:rsidR="0093626A" w:rsidRPr="00634580" w:rsidRDefault="00000000" w:rsidP="00634580">
            <w:pPr>
              <w:spacing w:line="360" w:lineRule="auto"/>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Nivel de Significancia</w:t>
            </w:r>
          </w:p>
        </w:tc>
      </w:tr>
      <w:tr w:rsidR="00E124A8" w:rsidRPr="00E124A8" w14:paraId="6D87B304" w14:textId="77777777">
        <w:trPr>
          <w:trHeight w:val="310"/>
        </w:trPr>
        <w:tc>
          <w:tcPr>
            <w:tcW w:w="4536" w:type="dxa"/>
            <w:tcBorders>
              <w:top w:val="nil"/>
              <w:left w:val="nil"/>
              <w:bottom w:val="single" w:sz="4" w:space="0" w:color="auto"/>
              <w:right w:val="nil"/>
            </w:tcBorders>
            <w:noWrap/>
            <w:vAlign w:val="bottom"/>
          </w:tcPr>
          <w:p w14:paraId="4E5B400C" w14:textId="77777777" w:rsidR="0093626A" w:rsidRPr="00634580" w:rsidRDefault="00000000" w:rsidP="00634580">
            <w:pPr>
              <w:spacing w:line="360" w:lineRule="auto"/>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Coeficiente Kaiser-Meyer-Olkin</w:t>
            </w:r>
          </w:p>
        </w:tc>
        <w:tc>
          <w:tcPr>
            <w:tcW w:w="2127" w:type="dxa"/>
            <w:tcBorders>
              <w:top w:val="nil"/>
              <w:left w:val="nil"/>
              <w:bottom w:val="single" w:sz="4" w:space="0" w:color="auto"/>
              <w:right w:val="nil"/>
            </w:tcBorders>
            <w:noWrap/>
            <w:vAlign w:val="bottom"/>
          </w:tcPr>
          <w:p w14:paraId="1DB4F8A2"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0.9</w:t>
            </w:r>
          </w:p>
        </w:tc>
        <w:tc>
          <w:tcPr>
            <w:tcW w:w="2268" w:type="dxa"/>
            <w:tcBorders>
              <w:top w:val="nil"/>
              <w:left w:val="nil"/>
              <w:bottom w:val="single" w:sz="4" w:space="0" w:color="auto"/>
              <w:right w:val="nil"/>
            </w:tcBorders>
            <w:noWrap/>
            <w:vAlign w:val="bottom"/>
          </w:tcPr>
          <w:p w14:paraId="42B32463" w14:textId="77777777" w:rsidR="0093626A" w:rsidRPr="00634580" w:rsidRDefault="00000000" w:rsidP="00634580">
            <w:pPr>
              <w:spacing w:line="360" w:lineRule="auto"/>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Medida de adecuación</w:t>
            </w:r>
          </w:p>
        </w:tc>
      </w:tr>
    </w:tbl>
    <w:p w14:paraId="09EBA47B" w14:textId="77777777" w:rsidR="0093626A" w:rsidRPr="00634580" w:rsidRDefault="00000000" w:rsidP="00634580">
      <w:pPr>
        <w:pStyle w:val="APA6a-Nor"/>
        <w:spacing w:before="0" w:line="360" w:lineRule="auto"/>
        <w:rPr>
          <w:rFonts w:ascii="Arial" w:hAnsi="Arial" w:cs="Arial"/>
          <w:color w:val="000000" w:themeColor="text1"/>
          <w:sz w:val="20"/>
          <w:szCs w:val="20"/>
        </w:rPr>
      </w:pPr>
      <w:r w:rsidRPr="00634580">
        <w:rPr>
          <w:rFonts w:ascii="Arial" w:hAnsi="Arial" w:cs="Arial"/>
          <w:color w:val="000000" w:themeColor="text1"/>
          <w:sz w:val="20"/>
          <w:szCs w:val="20"/>
        </w:rPr>
        <w:t>Fuente: Elaboración propia</w:t>
      </w:r>
    </w:p>
    <w:p w14:paraId="3011B842" w14:textId="77777777" w:rsidR="0093626A" w:rsidRPr="00634580" w:rsidRDefault="00000000" w:rsidP="00634580">
      <w:pPr>
        <w:spacing w:line="360" w:lineRule="auto"/>
        <w:rPr>
          <w:rFonts w:ascii="Arial" w:hAnsi="Arial" w:cs="Arial"/>
          <w:color w:val="000000" w:themeColor="text1"/>
          <w:sz w:val="24"/>
          <w:szCs w:val="24"/>
        </w:rPr>
      </w:pPr>
      <w:r w:rsidRPr="00634580">
        <w:rPr>
          <w:rFonts w:ascii="Arial" w:hAnsi="Arial" w:cs="Arial"/>
          <w:color w:val="000000" w:themeColor="text1"/>
          <w:sz w:val="24"/>
          <w:szCs w:val="24"/>
        </w:rPr>
        <w:lastRenderedPageBreak/>
        <w:t>Con base en el análisis de comunalidades y extracción de factores, con el fin de garantizar que el constructo de investigación se explique con el menor número posible de ítems (Veliz (2017), se alcanzó una Varianza Total Explicada del 79.3% una vez eliminados 2 ítems, y se logró probar la agrupación de los ítems en dos componentes, lo que es consistente con lo establecido en los estudios empíricos previos (Tabla 5).</w:t>
      </w:r>
    </w:p>
    <w:p w14:paraId="32D690F2" w14:textId="77777777" w:rsidR="0093626A" w:rsidRPr="00634580" w:rsidRDefault="00000000" w:rsidP="00634580">
      <w:pPr>
        <w:spacing w:line="360" w:lineRule="auto"/>
        <w:ind w:firstLine="708"/>
        <w:rPr>
          <w:rFonts w:ascii="Arial" w:hAnsi="Arial" w:cs="Arial"/>
          <w:color w:val="000000" w:themeColor="text1"/>
          <w:sz w:val="24"/>
          <w:szCs w:val="24"/>
        </w:rPr>
      </w:pPr>
      <w:r w:rsidRPr="00634580">
        <w:rPr>
          <w:rFonts w:ascii="Arial" w:hAnsi="Arial" w:cs="Arial"/>
          <w:color w:val="000000" w:themeColor="text1"/>
          <w:sz w:val="24"/>
          <w:szCs w:val="24"/>
        </w:rPr>
        <w:t>Se logró comprobar validez convergente del instrumento de investigación con los resultados de las pruebas de Varianza Total Extraída (AVE) y Confiabilidad Compuesta (CR), cuyos valores de acuerdo con Fornell-Larcker (1981), cumplieron con ser superiores a 0.5 y 0.7 (Tabla 6).</w:t>
      </w:r>
    </w:p>
    <w:p w14:paraId="6C836D00" w14:textId="7444587A" w:rsidR="0093626A" w:rsidRPr="00634580" w:rsidRDefault="00000000" w:rsidP="00634580">
      <w:pPr>
        <w:spacing w:line="360" w:lineRule="auto"/>
        <w:ind w:firstLine="708"/>
        <w:rPr>
          <w:rFonts w:ascii="Arial" w:hAnsi="Arial" w:cs="Arial"/>
          <w:color w:val="000000" w:themeColor="text1"/>
          <w:sz w:val="24"/>
          <w:szCs w:val="24"/>
        </w:rPr>
      </w:pPr>
      <w:r w:rsidRPr="00634580">
        <w:rPr>
          <w:rFonts w:ascii="Arial" w:hAnsi="Arial" w:cs="Arial"/>
          <w:color w:val="000000" w:themeColor="text1"/>
          <w:sz w:val="24"/>
          <w:szCs w:val="24"/>
        </w:rPr>
        <w:t>Finalmente, mediante se analizó la validez discriminante mediante el cálculo de las pruebas de Varianza Compartida Máxima (MSV) y Varianza Compartida Promedio (ASV), se probó el cumplimiento de los criterios de acuerdo con Hair (2010), conforme se muestra en la Tabla 7.</w:t>
      </w:r>
    </w:p>
    <w:p w14:paraId="08F99815" w14:textId="77777777" w:rsidR="0093626A" w:rsidRPr="00634580" w:rsidRDefault="00000000" w:rsidP="00634580">
      <w:pPr>
        <w:pStyle w:val="APA6a-Nor"/>
        <w:spacing w:line="360" w:lineRule="auto"/>
        <w:rPr>
          <w:rFonts w:ascii="Arial" w:hAnsi="Arial" w:cs="Arial"/>
          <w:color w:val="000000" w:themeColor="text1"/>
          <w:sz w:val="24"/>
          <w:szCs w:val="24"/>
        </w:rPr>
      </w:pPr>
      <w:r w:rsidRPr="00634580">
        <w:rPr>
          <w:rFonts w:ascii="Arial" w:hAnsi="Arial" w:cs="Arial"/>
          <w:b/>
          <w:bCs/>
          <w:color w:val="000000" w:themeColor="text1"/>
          <w:sz w:val="24"/>
          <w:szCs w:val="24"/>
        </w:rPr>
        <w:t xml:space="preserve">Tabla 5. </w:t>
      </w:r>
      <w:r w:rsidRPr="00634580">
        <w:rPr>
          <w:rFonts w:ascii="Arial" w:hAnsi="Arial" w:cs="Arial"/>
          <w:i/>
          <w:iCs/>
          <w:color w:val="000000" w:themeColor="text1"/>
          <w:sz w:val="24"/>
          <w:szCs w:val="24"/>
        </w:rPr>
        <w:t>Análisis Componentes Rotados variable DAP</w:t>
      </w:r>
    </w:p>
    <w:tbl>
      <w:tblPr>
        <w:tblW w:w="8838" w:type="dxa"/>
        <w:jc w:val="center"/>
        <w:tblCellMar>
          <w:left w:w="70" w:type="dxa"/>
          <w:right w:w="70" w:type="dxa"/>
        </w:tblCellMar>
        <w:tblLook w:val="04A0" w:firstRow="1" w:lastRow="0" w:firstColumn="1" w:lastColumn="0" w:noHBand="0" w:noVBand="1"/>
      </w:tblPr>
      <w:tblGrid>
        <w:gridCol w:w="1435"/>
        <w:gridCol w:w="1580"/>
        <w:gridCol w:w="1620"/>
        <w:gridCol w:w="1620"/>
        <w:gridCol w:w="2583"/>
      </w:tblGrid>
      <w:tr w:rsidR="00E124A8" w:rsidRPr="00E124A8" w14:paraId="104B0E8D" w14:textId="77777777">
        <w:trPr>
          <w:trHeight w:val="280"/>
          <w:jc w:val="center"/>
        </w:trPr>
        <w:tc>
          <w:tcPr>
            <w:tcW w:w="1435" w:type="dxa"/>
            <w:tcBorders>
              <w:top w:val="nil"/>
              <w:left w:val="nil"/>
              <w:bottom w:val="nil"/>
              <w:right w:val="nil"/>
            </w:tcBorders>
          </w:tcPr>
          <w:p w14:paraId="6A4C1380" w14:textId="77777777" w:rsidR="0093626A" w:rsidRPr="00634580" w:rsidRDefault="0093626A" w:rsidP="00634580">
            <w:pPr>
              <w:spacing w:line="360" w:lineRule="auto"/>
              <w:rPr>
                <w:rFonts w:ascii="Arial" w:eastAsia="Times New Roman" w:hAnsi="Arial" w:cs="Arial"/>
                <w:color w:val="000000" w:themeColor="text1"/>
                <w:sz w:val="24"/>
                <w:szCs w:val="24"/>
                <w:lang w:eastAsia="es-MX"/>
              </w:rPr>
            </w:pPr>
          </w:p>
        </w:tc>
        <w:tc>
          <w:tcPr>
            <w:tcW w:w="1580" w:type="dxa"/>
            <w:tcBorders>
              <w:top w:val="nil"/>
              <w:left w:val="nil"/>
              <w:bottom w:val="nil"/>
              <w:right w:val="nil"/>
            </w:tcBorders>
            <w:noWrap/>
            <w:vAlign w:val="bottom"/>
          </w:tcPr>
          <w:p w14:paraId="03950659" w14:textId="77777777" w:rsidR="0093626A" w:rsidRPr="00634580" w:rsidRDefault="0093626A" w:rsidP="00634580">
            <w:pPr>
              <w:spacing w:line="360" w:lineRule="auto"/>
              <w:rPr>
                <w:rFonts w:ascii="Arial" w:eastAsia="Times New Roman" w:hAnsi="Arial" w:cs="Arial"/>
                <w:color w:val="000000" w:themeColor="text1"/>
                <w:sz w:val="24"/>
                <w:szCs w:val="24"/>
                <w:lang w:eastAsia="es-MX"/>
              </w:rPr>
            </w:pPr>
          </w:p>
        </w:tc>
        <w:tc>
          <w:tcPr>
            <w:tcW w:w="3240" w:type="dxa"/>
            <w:gridSpan w:val="2"/>
            <w:tcBorders>
              <w:top w:val="nil"/>
              <w:left w:val="nil"/>
              <w:bottom w:val="nil"/>
              <w:right w:val="nil"/>
            </w:tcBorders>
            <w:vAlign w:val="bottom"/>
          </w:tcPr>
          <w:p w14:paraId="07212694"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Componente</w:t>
            </w:r>
          </w:p>
        </w:tc>
        <w:tc>
          <w:tcPr>
            <w:tcW w:w="2583" w:type="dxa"/>
            <w:tcBorders>
              <w:top w:val="nil"/>
              <w:left w:val="nil"/>
              <w:bottom w:val="nil"/>
              <w:right w:val="nil"/>
            </w:tcBorders>
          </w:tcPr>
          <w:p w14:paraId="1DD1AF9E" w14:textId="77777777" w:rsidR="0093626A" w:rsidRPr="00634580" w:rsidRDefault="0093626A" w:rsidP="00634580">
            <w:pPr>
              <w:spacing w:line="360" w:lineRule="auto"/>
              <w:jc w:val="center"/>
              <w:rPr>
                <w:rFonts w:ascii="Arial" w:eastAsia="Times New Roman" w:hAnsi="Arial" w:cs="Arial"/>
                <w:color w:val="000000" w:themeColor="text1"/>
                <w:sz w:val="24"/>
                <w:szCs w:val="24"/>
                <w:lang w:eastAsia="es-MX"/>
              </w:rPr>
            </w:pPr>
          </w:p>
        </w:tc>
      </w:tr>
      <w:tr w:rsidR="00E124A8" w:rsidRPr="00E124A8" w14:paraId="0586101C" w14:textId="77777777">
        <w:trPr>
          <w:trHeight w:val="137"/>
          <w:jc w:val="center"/>
        </w:trPr>
        <w:tc>
          <w:tcPr>
            <w:tcW w:w="1435" w:type="dxa"/>
            <w:tcBorders>
              <w:top w:val="nil"/>
              <w:left w:val="nil"/>
              <w:bottom w:val="double" w:sz="6" w:space="0" w:color="auto"/>
              <w:right w:val="nil"/>
            </w:tcBorders>
          </w:tcPr>
          <w:p w14:paraId="2A79FC02" w14:textId="77777777" w:rsidR="0093626A" w:rsidRPr="00634580" w:rsidRDefault="00000000" w:rsidP="00634580">
            <w:pPr>
              <w:spacing w:line="360" w:lineRule="auto"/>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Variable</w:t>
            </w:r>
          </w:p>
        </w:tc>
        <w:tc>
          <w:tcPr>
            <w:tcW w:w="1580" w:type="dxa"/>
            <w:tcBorders>
              <w:top w:val="nil"/>
              <w:left w:val="nil"/>
              <w:bottom w:val="double" w:sz="6" w:space="0" w:color="auto"/>
              <w:right w:val="nil"/>
            </w:tcBorders>
            <w:noWrap/>
            <w:vAlign w:val="bottom"/>
          </w:tcPr>
          <w:p w14:paraId="24C5A8D4" w14:textId="77777777" w:rsidR="0093626A" w:rsidRPr="00634580" w:rsidRDefault="00000000" w:rsidP="00634580">
            <w:pPr>
              <w:spacing w:line="360" w:lineRule="auto"/>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Ítems </w:t>
            </w:r>
          </w:p>
        </w:tc>
        <w:tc>
          <w:tcPr>
            <w:tcW w:w="1620" w:type="dxa"/>
            <w:tcBorders>
              <w:top w:val="nil"/>
              <w:left w:val="nil"/>
              <w:bottom w:val="double" w:sz="6" w:space="0" w:color="auto"/>
              <w:right w:val="nil"/>
            </w:tcBorders>
            <w:noWrap/>
            <w:vAlign w:val="bottom"/>
          </w:tcPr>
          <w:p w14:paraId="4DEA8729"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1</w:t>
            </w:r>
          </w:p>
        </w:tc>
        <w:tc>
          <w:tcPr>
            <w:tcW w:w="1620" w:type="dxa"/>
            <w:tcBorders>
              <w:top w:val="nil"/>
              <w:left w:val="nil"/>
              <w:bottom w:val="double" w:sz="6" w:space="0" w:color="auto"/>
              <w:right w:val="nil"/>
            </w:tcBorders>
            <w:noWrap/>
            <w:vAlign w:val="bottom"/>
          </w:tcPr>
          <w:p w14:paraId="395007F0"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2</w:t>
            </w:r>
          </w:p>
        </w:tc>
        <w:tc>
          <w:tcPr>
            <w:tcW w:w="2583" w:type="dxa"/>
            <w:tcBorders>
              <w:top w:val="nil"/>
              <w:left w:val="nil"/>
              <w:bottom w:val="double" w:sz="6" w:space="0" w:color="auto"/>
              <w:right w:val="nil"/>
            </w:tcBorders>
          </w:tcPr>
          <w:p w14:paraId="4E4D4612" w14:textId="77777777" w:rsidR="0093626A" w:rsidRPr="00634580" w:rsidRDefault="0093626A" w:rsidP="00634580">
            <w:pPr>
              <w:spacing w:line="360" w:lineRule="auto"/>
              <w:jc w:val="center"/>
              <w:rPr>
                <w:rFonts w:ascii="Arial" w:eastAsia="Times New Roman" w:hAnsi="Arial" w:cs="Arial"/>
                <w:color w:val="000000" w:themeColor="text1"/>
                <w:sz w:val="24"/>
                <w:szCs w:val="24"/>
                <w:lang w:eastAsia="es-MX"/>
              </w:rPr>
            </w:pPr>
          </w:p>
        </w:tc>
      </w:tr>
      <w:tr w:rsidR="00E124A8" w:rsidRPr="00E124A8" w14:paraId="1DAEF4F2" w14:textId="77777777">
        <w:trPr>
          <w:trHeight w:val="290"/>
          <w:jc w:val="center"/>
        </w:trPr>
        <w:tc>
          <w:tcPr>
            <w:tcW w:w="1435" w:type="dxa"/>
            <w:vMerge w:val="restart"/>
            <w:tcBorders>
              <w:top w:val="nil"/>
              <w:left w:val="nil"/>
              <w:right w:val="nil"/>
            </w:tcBorders>
            <w:vAlign w:val="center"/>
          </w:tcPr>
          <w:p w14:paraId="0324C769" w14:textId="77777777" w:rsidR="0093626A" w:rsidRPr="00634580" w:rsidRDefault="00000000" w:rsidP="00634580">
            <w:pPr>
              <w:spacing w:line="360" w:lineRule="auto"/>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DAP</w:t>
            </w:r>
          </w:p>
        </w:tc>
        <w:tc>
          <w:tcPr>
            <w:tcW w:w="1580" w:type="dxa"/>
            <w:tcBorders>
              <w:top w:val="nil"/>
              <w:left w:val="nil"/>
              <w:bottom w:val="nil"/>
              <w:right w:val="nil"/>
            </w:tcBorders>
            <w:noWrap/>
          </w:tcPr>
          <w:p w14:paraId="3502B454" w14:textId="77777777" w:rsidR="0093626A" w:rsidRPr="00634580" w:rsidRDefault="00000000" w:rsidP="00634580">
            <w:pPr>
              <w:spacing w:line="360" w:lineRule="auto"/>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DAP_NP1</w:t>
            </w:r>
          </w:p>
        </w:tc>
        <w:tc>
          <w:tcPr>
            <w:tcW w:w="1620" w:type="dxa"/>
            <w:tcBorders>
              <w:top w:val="nil"/>
              <w:left w:val="nil"/>
              <w:bottom w:val="nil"/>
              <w:right w:val="nil"/>
            </w:tcBorders>
            <w:noWrap/>
            <w:vAlign w:val="bottom"/>
          </w:tcPr>
          <w:p w14:paraId="43CCC24D"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hAnsi="Arial" w:cs="Arial"/>
                <w:color w:val="000000" w:themeColor="text1"/>
                <w:sz w:val="24"/>
                <w:szCs w:val="24"/>
              </w:rPr>
              <w:t>0.8</w:t>
            </w:r>
          </w:p>
        </w:tc>
        <w:tc>
          <w:tcPr>
            <w:tcW w:w="1620" w:type="dxa"/>
            <w:tcBorders>
              <w:top w:val="nil"/>
              <w:left w:val="nil"/>
              <w:bottom w:val="nil"/>
              <w:right w:val="nil"/>
            </w:tcBorders>
          </w:tcPr>
          <w:p w14:paraId="2146CEE7" w14:textId="77777777" w:rsidR="0093626A" w:rsidRPr="00634580" w:rsidRDefault="0093626A" w:rsidP="00634580">
            <w:pPr>
              <w:spacing w:line="360" w:lineRule="auto"/>
              <w:jc w:val="center"/>
              <w:rPr>
                <w:rFonts w:ascii="Arial" w:eastAsia="Times New Roman" w:hAnsi="Arial" w:cs="Arial"/>
                <w:color w:val="000000" w:themeColor="text1"/>
                <w:sz w:val="24"/>
                <w:szCs w:val="24"/>
                <w:lang w:eastAsia="es-MX"/>
              </w:rPr>
            </w:pPr>
          </w:p>
        </w:tc>
        <w:tc>
          <w:tcPr>
            <w:tcW w:w="2583" w:type="dxa"/>
            <w:tcBorders>
              <w:top w:val="nil"/>
              <w:left w:val="nil"/>
              <w:bottom w:val="nil"/>
              <w:right w:val="nil"/>
            </w:tcBorders>
          </w:tcPr>
          <w:p w14:paraId="347C3FF9" w14:textId="77777777" w:rsidR="0093626A" w:rsidRPr="00634580" w:rsidRDefault="0093626A" w:rsidP="00634580">
            <w:pPr>
              <w:spacing w:line="360" w:lineRule="auto"/>
              <w:jc w:val="center"/>
              <w:rPr>
                <w:rFonts w:ascii="Arial" w:eastAsia="Times New Roman" w:hAnsi="Arial" w:cs="Arial"/>
                <w:color w:val="000000" w:themeColor="text1"/>
                <w:sz w:val="24"/>
                <w:szCs w:val="24"/>
                <w:lang w:eastAsia="es-MX"/>
              </w:rPr>
            </w:pPr>
          </w:p>
        </w:tc>
      </w:tr>
      <w:tr w:rsidR="00E124A8" w:rsidRPr="00E124A8" w14:paraId="03DD397A" w14:textId="77777777">
        <w:trPr>
          <w:trHeight w:val="280"/>
          <w:jc w:val="center"/>
        </w:trPr>
        <w:tc>
          <w:tcPr>
            <w:tcW w:w="1435" w:type="dxa"/>
            <w:vMerge/>
            <w:tcBorders>
              <w:left w:val="nil"/>
              <w:right w:val="nil"/>
            </w:tcBorders>
          </w:tcPr>
          <w:p w14:paraId="5BF7B850" w14:textId="77777777" w:rsidR="0093626A" w:rsidRPr="00634580" w:rsidRDefault="0093626A" w:rsidP="00634580">
            <w:pPr>
              <w:spacing w:line="360" w:lineRule="auto"/>
              <w:rPr>
                <w:rFonts w:ascii="Arial" w:eastAsia="Times New Roman" w:hAnsi="Arial" w:cs="Arial"/>
                <w:color w:val="000000" w:themeColor="text1"/>
                <w:sz w:val="24"/>
                <w:szCs w:val="24"/>
                <w:lang w:eastAsia="es-MX"/>
              </w:rPr>
            </w:pPr>
          </w:p>
        </w:tc>
        <w:tc>
          <w:tcPr>
            <w:tcW w:w="1580" w:type="dxa"/>
            <w:tcBorders>
              <w:top w:val="nil"/>
              <w:left w:val="nil"/>
              <w:bottom w:val="nil"/>
              <w:right w:val="nil"/>
            </w:tcBorders>
            <w:noWrap/>
          </w:tcPr>
          <w:p w14:paraId="4966AB14" w14:textId="77777777" w:rsidR="0093626A" w:rsidRPr="00634580" w:rsidRDefault="00000000" w:rsidP="00634580">
            <w:pPr>
              <w:spacing w:line="360" w:lineRule="auto"/>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DAP_NP2</w:t>
            </w:r>
          </w:p>
        </w:tc>
        <w:tc>
          <w:tcPr>
            <w:tcW w:w="1620" w:type="dxa"/>
            <w:tcBorders>
              <w:top w:val="nil"/>
              <w:left w:val="nil"/>
              <w:bottom w:val="nil"/>
              <w:right w:val="nil"/>
            </w:tcBorders>
            <w:noWrap/>
            <w:vAlign w:val="bottom"/>
          </w:tcPr>
          <w:p w14:paraId="02BE0C31"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hAnsi="Arial" w:cs="Arial"/>
                <w:color w:val="000000" w:themeColor="text1"/>
                <w:sz w:val="24"/>
                <w:szCs w:val="24"/>
              </w:rPr>
              <w:t>0.9</w:t>
            </w:r>
          </w:p>
        </w:tc>
        <w:tc>
          <w:tcPr>
            <w:tcW w:w="1620" w:type="dxa"/>
            <w:tcBorders>
              <w:top w:val="nil"/>
              <w:left w:val="nil"/>
              <w:bottom w:val="nil"/>
              <w:right w:val="nil"/>
            </w:tcBorders>
          </w:tcPr>
          <w:p w14:paraId="4FE652D2" w14:textId="77777777" w:rsidR="0093626A" w:rsidRPr="00634580" w:rsidRDefault="0093626A" w:rsidP="00634580">
            <w:pPr>
              <w:spacing w:line="360" w:lineRule="auto"/>
              <w:jc w:val="center"/>
              <w:rPr>
                <w:rFonts w:ascii="Arial" w:eastAsia="Times New Roman" w:hAnsi="Arial" w:cs="Arial"/>
                <w:color w:val="000000" w:themeColor="text1"/>
                <w:sz w:val="24"/>
                <w:szCs w:val="24"/>
                <w:lang w:eastAsia="es-MX"/>
              </w:rPr>
            </w:pPr>
          </w:p>
        </w:tc>
        <w:tc>
          <w:tcPr>
            <w:tcW w:w="2583" w:type="dxa"/>
            <w:tcBorders>
              <w:top w:val="nil"/>
              <w:left w:val="nil"/>
              <w:bottom w:val="nil"/>
              <w:right w:val="nil"/>
            </w:tcBorders>
          </w:tcPr>
          <w:p w14:paraId="520423C6" w14:textId="77777777" w:rsidR="0093626A" w:rsidRPr="00634580" w:rsidRDefault="0093626A" w:rsidP="00634580">
            <w:pPr>
              <w:spacing w:line="360" w:lineRule="auto"/>
              <w:jc w:val="center"/>
              <w:rPr>
                <w:rFonts w:ascii="Arial" w:eastAsia="Times New Roman" w:hAnsi="Arial" w:cs="Arial"/>
                <w:color w:val="000000" w:themeColor="text1"/>
                <w:sz w:val="24"/>
                <w:szCs w:val="24"/>
                <w:lang w:eastAsia="es-MX"/>
              </w:rPr>
            </w:pPr>
          </w:p>
        </w:tc>
      </w:tr>
      <w:tr w:rsidR="00E124A8" w:rsidRPr="00E124A8" w14:paraId="349617B1" w14:textId="77777777">
        <w:trPr>
          <w:trHeight w:val="280"/>
          <w:jc w:val="center"/>
        </w:trPr>
        <w:tc>
          <w:tcPr>
            <w:tcW w:w="1435" w:type="dxa"/>
            <w:vMerge/>
            <w:tcBorders>
              <w:left w:val="nil"/>
              <w:right w:val="nil"/>
            </w:tcBorders>
          </w:tcPr>
          <w:p w14:paraId="58F2A8ED" w14:textId="77777777" w:rsidR="0093626A" w:rsidRPr="00634580" w:rsidRDefault="0093626A" w:rsidP="00634580">
            <w:pPr>
              <w:spacing w:line="360" w:lineRule="auto"/>
              <w:rPr>
                <w:rFonts w:ascii="Arial" w:eastAsia="Times New Roman" w:hAnsi="Arial" w:cs="Arial"/>
                <w:color w:val="000000" w:themeColor="text1"/>
                <w:sz w:val="24"/>
                <w:szCs w:val="24"/>
                <w:lang w:eastAsia="es-MX"/>
              </w:rPr>
            </w:pPr>
          </w:p>
        </w:tc>
        <w:tc>
          <w:tcPr>
            <w:tcW w:w="1580" w:type="dxa"/>
            <w:tcBorders>
              <w:top w:val="nil"/>
              <w:left w:val="nil"/>
              <w:bottom w:val="nil"/>
              <w:right w:val="nil"/>
            </w:tcBorders>
            <w:noWrap/>
          </w:tcPr>
          <w:p w14:paraId="7047815C" w14:textId="77777777" w:rsidR="0093626A" w:rsidRPr="00634580" w:rsidRDefault="00000000" w:rsidP="00634580">
            <w:pPr>
              <w:spacing w:line="360" w:lineRule="auto"/>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DAP_NP3</w:t>
            </w:r>
          </w:p>
        </w:tc>
        <w:tc>
          <w:tcPr>
            <w:tcW w:w="1620" w:type="dxa"/>
            <w:tcBorders>
              <w:top w:val="nil"/>
              <w:left w:val="nil"/>
              <w:bottom w:val="nil"/>
              <w:right w:val="nil"/>
            </w:tcBorders>
            <w:noWrap/>
            <w:vAlign w:val="bottom"/>
          </w:tcPr>
          <w:p w14:paraId="023A8A88"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hAnsi="Arial" w:cs="Arial"/>
                <w:color w:val="000000" w:themeColor="text1"/>
                <w:sz w:val="24"/>
                <w:szCs w:val="24"/>
              </w:rPr>
              <w:t>0.8</w:t>
            </w:r>
          </w:p>
        </w:tc>
        <w:tc>
          <w:tcPr>
            <w:tcW w:w="1620" w:type="dxa"/>
            <w:tcBorders>
              <w:top w:val="nil"/>
              <w:left w:val="nil"/>
              <w:bottom w:val="nil"/>
              <w:right w:val="nil"/>
            </w:tcBorders>
          </w:tcPr>
          <w:p w14:paraId="1AE12A4C" w14:textId="77777777" w:rsidR="0093626A" w:rsidRPr="00634580" w:rsidRDefault="0093626A" w:rsidP="00634580">
            <w:pPr>
              <w:spacing w:line="360" w:lineRule="auto"/>
              <w:jc w:val="center"/>
              <w:rPr>
                <w:rFonts w:ascii="Arial" w:eastAsia="Times New Roman" w:hAnsi="Arial" w:cs="Arial"/>
                <w:color w:val="000000" w:themeColor="text1"/>
                <w:sz w:val="24"/>
                <w:szCs w:val="24"/>
                <w:lang w:eastAsia="es-MX"/>
              </w:rPr>
            </w:pPr>
          </w:p>
        </w:tc>
        <w:tc>
          <w:tcPr>
            <w:tcW w:w="2583" w:type="dxa"/>
            <w:tcBorders>
              <w:top w:val="nil"/>
              <w:left w:val="nil"/>
              <w:bottom w:val="nil"/>
              <w:right w:val="nil"/>
            </w:tcBorders>
          </w:tcPr>
          <w:p w14:paraId="4B206381" w14:textId="77777777" w:rsidR="0093626A" w:rsidRPr="00634580" w:rsidRDefault="0093626A" w:rsidP="00634580">
            <w:pPr>
              <w:spacing w:line="360" w:lineRule="auto"/>
              <w:jc w:val="center"/>
              <w:rPr>
                <w:rFonts w:ascii="Arial" w:eastAsia="Times New Roman" w:hAnsi="Arial" w:cs="Arial"/>
                <w:color w:val="000000" w:themeColor="text1"/>
                <w:sz w:val="24"/>
                <w:szCs w:val="24"/>
                <w:lang w:eastAsia="es-MX"/>
              </w:rPr>
            </w:pPr>
          </w:p>
        </w:tc>
      </w:tr>
      <w:tr w:rsidR="00E124A8" w:rsidRPr="00E124A8" w14:paraId="72133A58" w14:textId="77777777">
        <w:trPr>
          <w:trHeight w:val="280"/>
          <w:jc w:val="center"/>
        </w:trPr>
        <w:tc>
          <w:tcPr>
            <w:tcW w:w="1435" w:type="dxa"/>
            <w:vMerge/>
            <w:tcBorders>
              <w:left w:val="nil"/>
              <w:right w:val="nil"/>
            </w:tcBorders>
          </w:tcPr>
          <w:p w14:paraId="7D17B43E" w14:textId="77777777" w:rsidR="0093626A" w:rsidRPr="00634580" w:rsidRDefault="0093626A" w:rsidP="00634580">
            <w:pPr>
              <w:spacing w:line="360" w:lineRule="auto"/>
              <w:rPr>
                <w:rFonts w:ascii="Arial" w:eastAsia="Times New Roman" w:hAnsi="Arial" w:cs="Arial"/>
                <w:color w:val="000000" w:themeColor="text1"/>
                <w:sz w:val="24"/>
                <w:szCs w:val="24"/>
                <w:lang w:eastAsia="es-MX"/>
              </w:rPr>
            </w:pPr>
          </w:p>
        </w:tc>
        <w:tc>
          <w:tcPr>
            <w:tcW w:w="1580" w:type="dxa"/>
            <w:tcBorders>
              <w:top w:val="nil"/>
              <w:left w:val="nil"/>
              <w:bottom w:val="nil"/>
              <w:right w:val="nil"/>
            </w:tcBorders>
            <w:noWrap/>
          </w:tcPr>
          <w:p w14:paraId="116AB1A7" w14:textId="77777777" w:rsidR="0093626A" w:rsidRPr="00634580" w:rsidRDefault="00000000" w:rsidP="00634580">
            <w:pPr>
              <w:spacing w:line="360" w:lineRule="auto"/>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DAP_NP4</w:t>
            </w:r>
          </w:p>
        </w:tc>
        <w:tc>
          <w:tcPr>
            <w:tcW w:w="1620" w:type="dxa"/>
            <w:tcBorders>
              <w:top w:val="nil"/>
              <w:left w:val="nil"/>
              <w:bottom w:val="nil"/>
              <w:right w:val="nil"/>
            </w:tcBorders>
            <w:noWrap/>
            <w:vAlign w:val="bottom"/>
          </w:tcPr>
          <w:p w14:paraId="452E0259"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hAnsi="Arial" w:cs="Arial"/>
                <w:color w:val="000000" w:themeColor="text1"/>
                <w:sz w:val="24"/>
                <w:szCs w:val="24"/>
              </w:rPr>
              <w:t>0.9</w:t>
            </w:r>
          </w:p>
        </w:tc>
        <w:tc>
          <w:tcPr>
            <w:tcW w:w="1620" w:type="dxa"/>
            <w:tcBorders>
              <w:top w:val="nil"/>
              <w:left w:val="nil"/>
              <w:bottom w:val="nil"/>
              <w:right w:val="nil"/>
            </w:tcBorders>
          </w:tcPr>
          <w:p w14:paraId="111CF065" w14:textId="77777777" w:rsidR="0093626A" w:rsidRPr="00634580" w:rsidRDefault="0093626A" w:rsidP="00634580">
            <w:pPr>
              <w:spacing w:line="360" w:lineRule="auto"/>
              <w:jc w:val="center"/>
              <w:rPr>
                <w:rFonts w:ascii="Arial" w:eastAsia="Times New Roman" w:hAnsi="Arial" w:cs="Arial"/>
                <w:color w:val="000000" w:themeColor="text1"/>
                <w:sz w:val="24"/>
                <w:szCs w:val="24"/>
                <w:lang w:eastAsia="es-MX"/>
              </w:rPr>
            </w:pPr>
          </w:p>
        </w:tc>
        <w:tc>
          <w:tcPr>
            <w:tcW w:w="2583" w:type="dxa"/>
            <w:tcBorders>
              <w:top w:val="nil"/>
              <w:left w:val="nil"/>
              <w:bottom w:val="nil"/>
              <w:right w:val="nil"/>
            </w:tcBorders>
          </w:tcPr>
          <w:p w14:paraId="1E3F00ED" w14:textId="77777777" w:rsidR="0093626A" w:rsidRPr="00634580" w:rsidRDefault="0093626A" w:rsidP="00634580">
            <w:pPr>
              <w:spacing w:line="360" w:lineRule="auto"/>
              <w:jc w:val="center"/>
              <w:rPr>
                <w:rFonts w:ascii="Arial" w:eastAsia="Times New Roman" w:hAnsi="Arial" w:cs="Arial"/>
                <w:color w:val="000000" w:themeColor="text1"/>
                <w:sz w:val="24"/>
                <w:szCs w:val="24"/>
                <w:lang w:eastAsia="es-MX"/>
              </w:rPr>
            </w:pPr>
          </w:p>
        </w:tc>
      </w:tr>
      <w:tr w:rsidR="00E124A8" w:rsidRPr="00E124A8" w14:paraId="40DA82AF" w14:textId="77777777">
        <w:trPr>
          <w:trHeight w:val="280"/>
          <w:jc w:val="center"/>
        </w:trPr>
        <w:tc>
          <w:tcPr>
            <w:tcW w:w="1435" w:type="dxa"/>
            <w:vMerge/>
            <w:tcBorders>
              <w:left w:val="nil"/>
              <w:right w:val="nil"/>
            </w:tcBorders>
          </w:tcPr>
          <w:p w14:paraId="66B22F49" w14:textId="77777777" w:rsidR="0093626A" w:rsidRPr="00634580" w:rsidRDefault="0093626A" w:rsidP="00634580">
            <w:pPr>
              <w:spacing w:line="360" w:lineRule="auto"/>
              <w:rPr>
                <w:rFonts w:ascii="Arial" w:eastAsia="Times New Roman" w:hAnsi="Arial" w:cs="Arial"/>
                <w:color w:val="000000" w:themeColor="text1"/>
                <w:sz w:val="24"/>
                <w:szCs w:val="24"/>
                <w:lang w:eastAsia="es-MX"/>
              </w:rPr>
            </w:pPr>
          </w:p>
        </w:tc>
        <w:tc>
          <w:tcPr>
            <w:tcW w:w="1580" w:type="dxa"/>
            <w:tcBorders>
              <w:top w:val="nil"/>
              <w:left w:val="nil"/>
              <w:bottom w:val="nil"/>
              <w:right w:val="nil"/>
            </w:tcBorders>
            <w:noWrap/>
          </w:tcPr>
          <w:p w14:paraId="5CCD0452" w14:textId="77777777" w:rsidR="0093626A" w:rsidRPr="00634580" w:rsidRDefault="00000000" w:rsidP="00634580">
            <w:pPr>
              <w:spacing w:line="360" w:lineRule="auto"/>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DAP_NP5</w:t>
            </w:r>
          </w:p>
        </w:tc>
        <w:tc>
          <w:tcPr>
            <w:tcW w:w="1620" w:type="dxa"/>
            <w:tcBorders>
              <w:top w:val="nil"/>
              <w:left w:val="nil"/>
              <w:bottom w:val="nil"/>
              <w:right w:val="nil"/>
            </w:tcBorders>
            <w:noWrap/>
            <w:vAlign w:val="bottom"/>
          </w:tcPr>
          <w:p w14:paraId="402BA0D8"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hAnsi="Arial" w:cs="Arial"/>
                <w:color w:val="000000" w:themeColor="text1"/>
                <w:sz w:val="24"/>
                <w:szCs w:val="24"/>
              </w:rPr>
              <w:t>0.8</w:t>
            </w:r>
          </w:p>
        </w:tc>
        <w:tc>
          <w:tcPr>
            <w:tcW w:w="1620" w:type="dxa"/>
            <w:tcBorders>
              <w:top w:val="nil"/>
              <w:left w:val="nil"/>
              <w:bottom w:val="nil"/>
              <w:right w:val="nil"/>
            </w:tcBorders>
          </w:tcPr>
          <w:p w14:paraId="64C65D40" w14:textId="77777777" w:rsidR="0093626A" w:rsidRPr="00634580" w:rsidRDefault="0093626A" w:rsidP="00634580">
            <w:pPr>
              <w:spacing w:line="360" w:lineRule="auto"/>
              <w:jc w:val="center"/>
              <w:rPr>
                <w:rFonts w:ascii="Arial" w:eastAsia="Times New Roman" w:hAnsi="Arial" w:cs="Arial"/>
                <w:color w:val="000000" w:themeColor="text1"/>
                <w:sz w:val="24"/>
                <w:szCs w:val="24"/>
                <w:lang w:eastAsia="es-MX"/>
              </w:rPr>
            </w:pPr>
          </w:p>
        </w:tc>
        <w:tc>
          <w:tcPr>
            <w:tcW w:w="2583" w:type="dxa"/>
            <w:tcBorders>
              <w:top w:val="nil"/>
              <w:left w:val="nil"/>
              <w:bottom w:val="nil"/>
              <w:right w:val="nil"/>
            </w:tcBorders>
          </w:tcPr>
          <w:p w14:paraId="28F457D6" w14:textId="77777777" w:rsidR="0093626A" w:rsidRPr="00634580" w:rsidRDefault="0093626A" w:rsidP="00634580">
            <w:pPr>
              <w:spacing w:line="360" w:lineRule="auto"/>
              <w:jc w:val="center"/>
              <w:rPr>
                <w:rFonts w:ascii="Arial" w:eastAsia="Times New Roman" w:hAnsi="Arial" w:cs="Arial"/>
                <w:color w:val="000000" w:themeColor="text1"/>
                <w:sz w:val="24"/>
                <w:szCs w:val="24"/>
                <w:lang w:eastAsia="es-MX"/>
              </w:rPr>
            </w:pPr>
          </w:p>
        </w:tc>
      </w:tr>
      <w:tr w:rsidR="00E124A8" w:rsidRPr="00E124A8" w14:paraId="3927AD10" w14:textId="77777777">
        <w:trPr>
          <w:trHeight w:val="280"/>
          <w:jc w:val="center"/>
        </w:trPr>
        <w:tc>
          <w:tcPr>
            <w:tcW w:w="1435" w:type="dxa"/>
            <w:vMerge/>
            <w:tcBorders>
              <w:left w:val="nil"/>
              <w:right w:val="nil"/>
            </w:tcBorders>
          </w:tcPr>
          <w:p w14:paraId="19D45A87" w14:textId="77777777" w:rsidR="0093626A" w:rsidRPr="00634580" w:rsidRDefault="0093626A" w:rsidP="00634580">
            <w:pPr>
              <w:spacing w:line="360" w:lineRule="auto"/>
              <w:rPr>
                <w:rFonts w:ascii="Arial" w:eastAsia="Times New Roman" w:hAnsi="Arial" w:cs="Arial"/>
                <w:color w:val="000000" w:themeColor="text1"/>
                <w:sz w:val="24"/>
                <w:szCs w:val="24"/>
                <w:lang w:eastAsia="es-MX"/>
              </w:rPr>
            </w:pPr>
          </w:p>
        </w:tc>
        <w:tc>
          <w:tcPr>
            <w:tcW w:w="1580" w:type="dxa"/>
            <w:tcBorders>
              <w:top w:val="nil"/>
              <w:left w:val="nil"/>
              <w:bottom w:val="nil"/>
              <w:right w:val="nil"/>
            </w:tcBorders>
            <w:noWrap/>
          </w:tcPr>
          <w:p w14:paraId="02A1B68D" w14:textId="77777777" w:rsidR="0093626A" w:rsidRPr="00634580" w:rsidRDefault="00000000" w:rsidP="00634580">
            <w:pPr>
              <w:spacing w:line="360" w:lineRule="auto"/>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DAP_NE1</w:t>
            </w:r>
          </w:p>
        </w:tc>
        <w:tc>
          <w:tcPr>
            <w:tcW w:w="1620" w:type="dxa"/>
            <w:tcBorders>
              <w:top w:val="nil"/>
              <w:left w:val="nil"/>
              <w:bottom w:val="nil"/>
              <w:right w:val="nil"/>
            </w:tcBorders>
          </w:tcPr>
          <w:p w14:paraId="10E4F9F8" w14:textId="77777777" w:rsidR="0093626A" w:rsidRPr="00634580" w:rsidRDefault="0093626A" w:rsidP="00634580">
            <w:pPr>
              <w:spacing w:line="360" w:lineRule="auto"/>
              <w:rPr>
                <w:rFonts w:ascii="Arial" w:eastAsia="Times New Roman" w:hAnsi="Arial" w:cs="Arial"/>
                <w:color w:val="000000" w:themeColor="text1"/>
                <w:sz w:val="24"/>
                <w:szCs w:val="24"/>
                <w:lang w:eastAsia="es-MX"/>
              </w:rPr>
            </w:pPr>
          </w:p>
        </w:tc>
        <w:tc>
          <w:tcPr>
            <w:tcW w:w="1620" w:type="dxa"/>
            <w:tcBorders>
              <w:top w:val="nil"/>
              <w:left w:val="nil"/>
              <w:bottom w:val="nil"/>
              <w:right w:val="nil"/>
            </w:tcBorders>
            <w:noWrap/>
            <w:vAlign w:val="bottom"/>
          </w:tcPr>
          <w:p w14:paraId="3B566228"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hAnsi="Arial" w:cs="Arial"/>
                <w:color w:val="000000" w:themeColor="text1"/>
                <w:sz w:val="24"/>
                <w:szCs w:val="24"/>
              </w:rPr>
              <w:t>0.8</w:t>
            </w:r>
          </w:p>
        </w:tc>
        <w:tc>
          <w:tcPr>
            <w:tcW w:w="2583" w:type="dxa"/>
            <w:tcBorders>
              <w:top w:val="nil"/>
              <w:left w:val="nil"/>
              <w:bottom w:val="nil"/>
              <w:right w:val="nil"/>
            </w:tcBorders>
          </w:tcPr>
          <w:p w14:paraId="7C0078D0" w14:textId="77777777" w:rsidR="0093626A" w:rsidRPr="00634580" w:rsidRDefault="0093626A" w:rsidP="00634580">
            <w:pPr>
              <w:spacing w:line="360" w:lineRule="auto"/>
              <w:jc w:val="center"/>
              <w:rPr>
                <w:rFonts w:ascii="Arial" w:hAnsi="Arial" w:cs="Arial"/>
                <w:color w:val="000000" w:themeColor="text1"/>
                <w:sz w:val="24"/>
                <w:szCs w:val="24"/>
              </w:rPr>
            </w:pPr>
          </w:p>
        </w:tc>
      </w:tr>
      <w:tr w:rsidR="00E124A8" w:rsidRPr="00E124A8" w14:paraId="354F617A" w14:textId="77777777">
        <w:trPr>
          <w:trHeight w:val="280"/>
          <w:jc w:val="center"/>
        </w:trPr>
        <w:tc>
          <w:tcPr>
            <w:tcW w:w="1435" w:type="dxa"/>
            <w:vMerge/>
            <w:tcBorders>
              <w:left w:val="nil"/>
              <w:right w:val="nil"/>
            </w:tcBorders>
          </w:tcPr>
          <w:p w14:paraId="42270F10" w14:textId="77777777" w:rsidR="0093626A" w:rsidRPr="00634580" w:rsidRDefault="0093626A" w:rsidP="00634580">
            <w:pPr>
              <w:spacing w:line="360" w:lineRule="auto"/>
              <w:rPr>
                <w:rFonts w:ascii="Arial" w:eastAsia="Times New Roman" w:hAnsi="Arial" w:cs="Arial"/>
                <w:color w:val="000000" w:themeColor="text1"/>
                <w:sz w:val="24"/>
                <w:szCs w:val="24"/>
                <w:lang w:eastAsia="es-MX"/>
              </w:rPr>
            </w:pPr>
          </w:p>
        </w:tc>
        <w:tc>
          <w:tcPr>
            <w:tcW w:w="1580" w:type="dxa"/>
            <w:tcBorders>
              <w:top w:val="nil"/>
              <w:left w:val="nil"/>
              <w:bottom w:val="nil"/>
              <w:right w:val="nil"/>
            </w:tcBorders>
            <w:noWrap/>
          </w:tcPr>
          <w:p w14:paraId="6F79A0E4" w14:textId="77777777" w:rsidR="0093626A" w:rsidRPr="00634580" w:rsidRDefault="00000000" w:rsidP="00634580">
            <w:pPr>
              <w:spacing w:line="360" w:lineRule="auto"/>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DAP_NE2</w:t>
            </w:r>
          </w:p>
        </w:tc>
        <w:tc>
          <w:tcPr>
            <w:tcW w:w="1620" w:type="dxa"/>
            <w:tcBorders>
              <w:top w:val="nil"/>
              <w:left w:val="nil"/>
              <w:bottom w:val="nil"/>
              <w:right w:val="nil"/>
            </w:tcBorders>
          </w:tcPr>
          <w:p w14:paraId="281E40FE" w14:textId="77777777" w:rsidR="0093626A" w:rsidRPr="00634580" w:rsidRDefault="0093626A" w:rsidP="00634580">
            <w:pPr>
              <w:spacing w:line="360" w:lineRule="auto"/>
              <w:rPr>
                <w:rFonts w:ascii="Arial" w:eastAsia="Times New Roman" w:hAnsi="Arial" w:cs="Arial"/>
                <w:color w:val="000000" w:themeColor="text1"/>
                <w:sz w:val="24"/>
                <w:szCs w:val="24"/>
                <w:lang w:eastAsia="es-MX"/>
              </w:rPr>
            </w:pPr>
          </w:p>
        </w:tc>
        <w:tc>
          <w:tcPr>
            <w:tcW w:w="1620" w:type="dxa"/>
            <w:tcBorders>
              <w:top w:val="nil"/>
              <w:left w:val="nil"/>
              <w:bottom w:val="nil"/>
              <w:right w:val="nil"/>
            </w:tcBorders>
            <w:noWrap/>
            <w:vAlign w:val="bottom"/>
          </w:tcPr>
          <w:p w14:paraId="2BB014FC"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hAnsi="Arial" w:cs="Arial"/>
                <w:color w:val="000000" w:themeColor="text1"/>
                <w:sz w:val="24"/>
                <w:szCs w:val="24"/>
              </w:rPr>
              <w:t>0.6</w:t>
            </w:r>
          </w:p>
        </w:tc>
        <w:tc>
          <w:tcPr>
            <w:tcW w:w="2583" w:type="dxa"/>
            <w:tcBorders>
              <w:top w:val="nil"/>
              <w:left w:val="nil"/>
              <w:bottom w:val="nil"/>
              <w:right w:val="nil"/>
            </w:tcBorders>
          </w:tcPr>
          <w:p w14:paraId="1D21D0AE" w14:textId="77777777" w:rsidR="0093626A" w:rsidRPr="00634580" w:rsidRDefault="0093626A" w:rsidP="00634580">
            <w:pPr>
              <w:spacing w:line="360" w:lineRule="auto"/>
              <w:jc w:val="center"/>
              <w:rPr>
                <w:rFonts w:ascii="Arial" w:hAnsi="Arial" w:cs="Arial"/>
                <w:color w:val="000000" w:themeColor="text1"/>
                <w:sz w:val="24"/>
                <w:szCs w:val="24"/>
              </w:rPr>
            </w:pPr>
          </w:p>
        </w:tc>
      </w:tr>
      <w:tr w:rsidR="00E124A8" w:rsidRPr="00E124A8" w14:paraId="5C1D95D3" w14:textId="77777777">
        <w:trPr>
          <w:trHeight w:val="280"/>
          <w:jc w:val="center"/>
        </w:trPr>
        <w:tc>
          <w:tcPr>
            <w:tcW w:w="1435" w:type="dxa"/>
            <w:vMerge/>
            <w:tcBorders>
              <w:left w:val="nil"/>
              <w:right w:val="nil"/>
            </w:tcBorders>
          </w:tcPr>
          <w:p w14:paraId="415B5CFD" w14:textId="77777777" w:rsidR="0093626A" w:rsidRPr="00634580" w:rsidRDefault="0093626A" w:rsidP="00634580">
            <w:pPr>
              <w:spacing w:line="360" w:lineRule="auto"/>
              <w:rPr>
                <w:rFonts w:ascii="Arial" w:eastAsia="Times New Roman" w:hAnsi="Arial" w:cs="Arial"/>
                <w:color w:val="000000" w:themeColor="text1"/>
                <w:sz w:val="24"/>
                <w:szCs w:val="24"/>
                <w:lang w:eastAsia="es-MX"/>
              </w:rPr>
            </w:pPr>
          </w:p>
        </w:tc>
        <w:tc>
          <w:tcPr>
            <w:tcW w:w="1580" w:type="dxa"/>
            <w:tcBorders>
              <w:top w:val="nil"/>
              <w:left w:val="nil"/>
              <w:bottom w:val="nil"/>
              <w:right w:val="nil"/>
            </w:tcBorders>
            <w:noWrap/>
          </w:tcPr>
          <w:p w14:paraId="690B1D51" w14:textId="77777777" w:rsidR="0093626A" w:rsidRPr="00634580" w:rsidRDefault="00000000" w:rsidP="00634580">
            <w:pPr>
              <w:spacing w:line="360" w:lineRule="auto"/>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DAP_NE3</w:t>
            </w:r>
          </w:p>
        </w:tc>
        <w:tc>
          <w:tcPr>
            <w:tcW w:w="1620" w:type="dxa"/>
            <w:tcBorders>
              <w:top w:val="nil"/>
              <w:left w:val="nil"/>
              <w:bottom w:val="nil"/>
              <w:right w:val="nil"/>
            </w:tcBorders>
          </w:tcPr>
          <w:p w14:paraId="6A708A3C" w14:textId="77777777" w:rsidR="0093626A" w:rsidRPr="00634580" w:rsidRDefault="0093626A" w:rsidP="00634580">
            <w:pPr>
              <w:spacing w:line="360" w:lineRule="auto"/>
              <w:rPr>
                <w:rFonts w:ascii="Arial" w:eastAsia="Times New Roman" w:hAnsi="Arial" w:cs="Arial"/>
                <w:color w:val="000000" w:themeColor="text1"/>
                <w:sz w:val="24"/>
                <w:szCs w:val="24"/>
                <w:lang w:eastAsia="es-MX"/>
              </w:rPr>
            </w:pPr>
          </w:p>
        </w:tc>
        <w:tc>
          <w:tcPr>
            <w:tcW w:w="1620" w:type="dxa"/>
            <w:tcBorders>
              <w:top w:val="nil"/>
              <w:left w:val="nil"/>
              <w:bottom w:val="nil"/>
              <w:right w:val="nil"/>
            </w:tcBorders>
            <w:noWrap/>
            <w:vAlign w:val="bottom"/>
          </w:tcPr>
          <w:p w14:paraId="7A740984"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hAnsi="Arial" w:cs="Arial"/>
                <w:color w:val="000000" w:themeColor="text1"/>
                <w:sz w:val="24"/>
                <w:szCs w:val="24"/>
              </w:rPr>
              <w:t>0.9</w:t>
            </w:r>
          </w:p>
        </w:tc>
        <w:tc>
          <w:tcPr>
            <w:tcW w:w="2583" w:type="dxa"/>
            <w:tcBorders>
              <w:top w:val="nil"/>
              <w:left w:val="nil"/>
              <w:bottom w:val="nil"/>
              <w:right w:val="nil"/>
            </w:tcBorders>
          </w:tcPr>
          <w:p w14:paraId="509E1878" w14:textId="77777777" w:rsidR="0093626A" w:rsidRPr="00634580" w:rsidRDefault="0093626A" w:rsidP="00634580">
            <w:pPr>
              <w:spacing w:line="360" w:lineRule="auto"/>
              <w:jc w:val="center"/>
              <w:rPr>
                <w:rFonts w:ascii="Arial" w:hAnsi="Arial" w:cs="Arial"/>
                <w:color w:val="000000" w:themeColor="text1"/>
                <w:sz w:val="24"/>
                <w:szCs w:val="24"/>
              </w:rPr>
            </w:pPr>
          </w:p>
        </w:tc>
      </w:tr>
      <w:tr w:rsidR="00E124A8" w:rsidRPr="00E124A8" w14:paraId="78AB69A9" w14:textId="77777777">
        <w:trPr>
          <w:trHeight w:val="280"/>
          <w:jc w:val="center"/>
        </w:trPr>
        <w:tc>
          <w:tcPr>
            <w:tcW w:w="1435" w:type="dxa"/>
            <w:vMerge/>
            <w:tcBorders>
              <w:left w:val="nil"/>
              <w:bottom w:val="single" w:sz="4" w:space="0" w:color="auto"/>
              <w:right w:val="nil"/>
            </w:tcBorders>
          </w:tcPr>
          <w:p w14:paraId="76099E82" w14:textId="77777777" w:rsidR="0093626A" w:rsidRPr="00634580" w:rsidRDefault="0093626A" w:rsidP="00634580">
            <w:pPr>
              <w:spacing w:line="360" w:lineRule="auto"/>
              <w:rPr>
                <w:rFonts w:ascii="Arial" w:eastAsia="Times New Roman" w:hAnsi="Arial" w:cs="Arial"/>
                <w:color w:val="000000" w:themeColor="text1"/>
                <w:sz w:val="24"/>
                <w:szCs w:val="24"/>
                <w:lang w:eastAsia="es-MX"/>
              </w:rPr>
            </w:pPr>
          </w:p>
        </w:tc>
        <w:tc>
          <w:tcPr>
            <w:tcW w:w="1580" w:type="dxa"/>
            <w:tcBorders>
              <w:top w:val="nil"/>
              <w:left w:val="nil"/>
              <w:bottom w:val="single" w:sz="4" w:space="0" w:color="auto"/>
              <w:right w:val="nil"/>
            </w:tcBorders>
            <w:noWrap/>
          </w:tcPr>
          <w:p w14:paraId="6A12DFC7" w14:textId="77777777" w:rsidR="0093626A" w:rsidRPr="00634580" w:rsidRDefault="00000000" w:rsidP="00634580">
            <w:pPr>
              <w:spacing w:line="360" w:lineRule="auto"/>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DAP_NE4</w:t>
            </w:r>
          </w:p>
        </w:tc>
        <w:tc>
          <w:tcPr>
            <w:tcW w:w="1620" w:type="dxa"/>
            <w:tcBorders>
              <w:top w:val="nil"/>
              <w:left w:val="nil"/>
              <w:bottom w:val="single" w:sz="4" w:space="0" w:color="auto"/>
              <w:right w:val="nil"/>
            </w:tcBorders>
          </w:tcPr>
          <w:p w14:paraId="711FCD8D"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hAnsi="Arial" w:cs="Arial"/>
                <w:color w:val="000000" w:themeColor="text1"/>
                <w:sz w:val="24"/>
                <w:szCs w:val="24"/>
              </w:rPr>
              <w:t> </w:t>
            </w:r>
          </w:p>
        </w:tc>
        <w:tc>
          <w:tcPr>
            <w:tcW w:w="1620" w:type="dxa"/>
            <w:tcBorders>
              <w:top w:val="nil"/>
              <w:left w:val="nil"/>
              <w:bottom w:val="single" w:sz="4" w:space="0" w:color="auto"/>
              <w:right w:val="nil"/>
            </w:tcBorders>
            <w:noWrap/>
            <w:vAlign w:val="bottom"/>
          </w:tcPr>
          <w:p w14:paraId="6C1D8884"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hAnsi="Arial" w:cs="Arial"/>
                <w:color w:val="000000" w:themeColor="text1"/>
                <w:sz w:val="24"/>
                <w:szCs w:val="24"/>
              </w:rPr>
              <w:t>0.8</w:t>
            </w:r>
          </w:p>
        </w:tc>
        <w:tc>
          <w:tcPr>
            <w:tcW w:w="2583" w:type="dxa"/>
            <w:tcBorders>
              <w:top w:val="nil"/>
              <w:left w:val="nil"/>
              <w:bottom w:val="single" w:sz="4" w:space="0" w:color="auto"/>
              <w:right w:val="nil"/>
            </w:tcBorders>
          </w:tcPr>
          <w:p w14:paraId="440B182E" w14:textId="77777777" w:rsidR="0093626A" w:rsidRPr="00634580" w:rsidRDefault="0093626A" w:rsidP="00634580">
            <w:pPr>
              <w:spacing w:line="360" w:lineRule="auto"/>
              <w:jc w:val="center"/>
              <w:rPr>
                <w:rFonts w:ascii="Arial" w:hAnsi="Arial" w:cs="Arial"/>
                <w:color w:val="000000" w:themeColor="text1"/>
                <w:sz w:val="24"/>
                <w:szCs w:val="24"/>
              </w:rPr>
            </w:pPr>
          </w:p>
        </w:tc>
      </w:tr>
    </w:tbl>
    <w:p w14:paraId="63016723" w14:textId="77777777" w:rsidR="0093626A" w:rsidRPr="00634580" w:rsidRDefault="00000000" w:rsidP="00634580">
      <w:pPr>
        <w:pStyle w:val="APA7a"/>
        <w:spacing w:line="360" w:lineRule="auto"/>
        <w:ind w:firstLine="0"/>
        <w:rPr>
          <w:rFonts w:cs="Arial"/>
          <w:color w:val="000000" w:themeColor="text1"/>
          <w:sz w:val="20"/>
          <w:szCs w:val="20"/>
        </w:rPr>
      </w:pPr>
      <w:r w:rsidRPr="00634580">
        <w:rPr>
          <w:rFonts w:cs="Arial"/>
          <w:color w:val="000000" w:themeColor="text1"/>
          <w:sz w:val="20"/>
          <w:szCs w:val="20"/>
        </w:rPr>
        <w:t>Fuente: Elaboración propia</w:t>
      </w:r>
    </w:p>
    <w:p w14:paraId="47DE9589" w14:textId="77777777" w:rsidR="0093626A" w:rsidRPr="00634580" w:rsidRDefault="00000000" w:rsidP="00634580">
      <w:pPr>
        <w:pStyle w:val="APA6a-Nor"/>
        <w:spacing w:line="360" w:lineRule="auto"/>
        <w:rPr>
          <w:rFonts w:ascii="Arial" w:hAnsi="Arial" w:cs="Arial"/>
          <w:i/>
          <w:iCs/>
          <w:color w:val="000000" w:themeColor="text1"/>
          <w:sz w:val="24"/>
          <w:szCs w:val="24"/>
        </w:rPr>
      </w:pPr>
      <w:r w:rsidRPr="00634580">
        <w:rPr>
          <w:rFonts w:ascii="Arial" w:hAnsi="Arial" w:cs="Arial"/>
          <w:b/>
          <w:bCs/>
          <w:color w:val="000000" w:themeColor="text1"/>
          <w:sz w:val="24"/>
          <w:szCs w:val="24"/>
        </w:rPr>
        <w:t xml:space="preserve">Tabla 6. </w:t>
      </w:r>
      <w:r w:rsidRPr="00634580">
        <w:rPr>
          <w:rFonts w:ascii="Arial" w:hAnsi="Arial" w:cs="Arial"/>
          <w:i/>
          <w:iCs/>
          <w:color w:val="000000" w:themeColor="text1"/>
          <w:sz w:val="24"/>
          <w:szCs w:val="24"/>
        </w:rPr>
        <w:t>Cumplimiento de validez convergente con AVE y CR</w:t>
      </w:r>
    </w:p>
    <w:tbl>
      <w:tblPr>
        <w:tblW w:w="7420" w:type="dxa"/>
        <w:tblCellMar>
          <w:left w:w="70" w:type="dxa"/>
          <w:right w:w="70" w:type="dxa"/>
        </w:tblCellMar>
        <w:tblLook w:val="04A0" w:firstRow="1" w:lastRow="0" w:firstColumn="1" w:lastColumn="0" w:noHBand="0" w:noVBand="1"/>
      </w:tblPr>
      <w:tblGrid>
        <w:gridCol w:w="1200"/>
        <w:gridCol w:w="1420"/>
        <w:gridCol w:w="1200"/>
        <w:gridCol w:w="1200"/>
        <w:gridCol w:w="1200"/>
        <w:gridCol w:w="1200"/>
      </w:tblGrid>
      <w:tr w:rsidR="00E124A8" w:rsidRPr="00E124A8" w14:paraId="275AC103" w14:textId="77777777">
        <w:trPr>
          <w:trHeight w:val="290"/>
        </w:trPr>
        <w:tc>
          <w:tcPr>
            <w:tcW w:w="1200" w:type="dxa"/>
            <w:tcBorders>
              <w:top w:val="single" w:sz="4" w:space="0" w:color="auto"/>
              <w:left w:val="nil"/>
              <w:bottom w:val="nil"/>
              <w:right w:val="nil"/>
            </w:tcBorders>
            <w:noWrap/>
            <w:vAlign w:val="bottom"/>
          </w:tcPr>
          <w:p w14:paraId="411B9138" w14:textId="77777777" w:rsidR="0093626A" w:rsidRPr="00634580" w:rsidRDefault="00000000" w:rsidP="00634580">
            <w:pPr>
              <w:spacing w:line="360" w:lineRule="auto"/>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 </w:t>
            </w:r>
          </w:p>
        </w:tc>
        <w:tc>
          <w:tcPr>
            <w:tcW w:w="1420" w:type="dxa"/>
            <w:tcBorders>
              <w:top w:val="single" w:sz="4" w:space="0" w:color="auto"/>
              <w:left w:val="nil"/>
              <w:bottom w:val="nil"/>
              <w:right w:val="nil"/>
            </w:tcBorders>
            <w:noWrap/>
            <w:vAlign w:val="bottom"/>
          </w:tcPr>
          <w:p w14:paraId="599EF320" w14:textId="77777777" w:rsidR="0093626A" w:rsidRPr="00634580" w:rsidRDefault="00000000" w:rsidP="00634580">
            <w:pPr>
              <w:spacing w:line="360" w:lineRule="auto"/>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 </w:t>
            </w:r>
          </w:p>
        </w:tc>
        <w:tc>
          <w:tcPr>
            <w:tcW w:w="2400" w:type="dxa"/>
            <w:gridSpan w:val="2"/>
            <w:tcBorders>
              <w:top w:val="single" w:sz="4" w:space="0" w:color="auto"/>
              <w:left w:val="nil"/>
              <w:bottom w:val="nil"/>
              <w:right w:val="nil"/>
            </w:tcBorders>
            <w:noWrap/>
            <w:vAlign w:val="bottom"/>
          </w:tcPr>
          <w:p w14:paraId="41E1EE0A"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Valores</w:t>
            </w:r>
          </w:p>
        </w:tc>
        <w:tc>
          <w:tcPr>
            <w:tcW w:w="2400" w:type="dxa"/>
            <w:gridSpan w:val="2"/>
            <w:tcBorders>
              <w:top w:val="single" w:sz="4" w:space="0" w:color="auto"/>
              <w:left w:val="nil"/>
              <w:bottom w:val="nil"/>
              <w:right w:val="nil"/>
            </w:tcBorders>
            <w:noWrap/>
            <w:vAlign w:val="bottom"/>
          </w:tcPr>
          <w:p w14:paraId="1375C031"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Cumplimiento</w:t>
            </w:r>
          </w:p>
        </w:tc>
      </w:tr>
      <w:tr w:rsidR="00E124A8" w:rsidRPr="00E124A8" w14:paraId="703D18B5" w14:textId="77777777">
        <w:trPr>
          <w:trHeight w:val="300"/>
        </w:trPr>
        <w:tc>
          <w:tcPr>
            <w:tcW w:w="1200" w:type="dxa"/>
            <w:tcBorders>
              <w:top w:val="nil"/>
              <w:left w:val="nil"/>
              <w:bottom w:val="double" w:sz="6" w:space="0" w:color="auto"/>
              <w:right w:val="nil"/>
            </w:tcBorders>
            <w:noWrap/>
            <w:vAlign w:val="bottom"/>
          </w:tcPr>
          <w:p w14:paraId="5FAB662E" w14:textId="77777777" w:rsidR="0093626A" w:rsidRPr="00634580" w:rsidRDefault="00000000" w:rsidP="00634580">
            <w:pPr>
              <w:spacing w:line="360" w:lineRule="auto"/>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Variable</w:t>
            </w:r>
          </w:p>
        </w:tc>
        <w:tc>
          <w:tcPr>
            <w:tcW w:w="1420" w:type="dxa"/>
            <w:tcBorders>
              <w:top w:val="nil"/>
              <w:left w:val="nil"/>
              <w:bottom w:val="double" w:sz="6" w:space="0" w:color="auto"/>
              <w:right w:val="nil"/>
            </w:tcBorders>
            <w:noWrap/>
            <w:vAlign w:val="bottom"/>
          </w:tcPr>
          <w:p w14:paraId="4D7BE799" w14:textId="77777777" w:rsidR="0093626A" w:rsidRPr="00634580" w:rsidRDefault="00000000" w:rsidP="00634580">
            <w:pPr>
              <w:spacing w:line="360" w:lineRule="auto"/>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Dimensión</w:t>
            </w:r>
          </w:p>
        </w:tc>
        <w:tc>
          <w:tcPr>
            <w:tcW w:w="1200" w:type="dxa"/>
            <w:tcBorders>
              <w:top w:val="nil"/>
              <w:left w:val="nil"/>
              <w:bottom w:val="double" w:sz="6" w:space="0" w:color="auto"/>
              <w:right w:val="nil"/>
            </w:tcBorders>
            <w:noWrap/>
            <w:vAlign w:val="bottom"/>
          </w:tcPr>
          <w:p w14:paraId="2570C036"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AVE</w:t>
            </w:r>
          </w:p>
        </w:tc>
        <w:tc>
          <w:tcPr>
            <w:tcW w:w="1200" w:type="dxa"/>
            <w:tcBorders>
              <w:top w:val="nil"/>
              <w:left w:val="nil"/>
              <w:bottom w:val="double" w:sz="6" w:space="0" w:color="auto"/>
              <w:right w:val="nil"/>
            </w:tcBorders>
            <w:noWrap/>
            <w:vAlign w:val="bottom"/>
          </w:tcPr>
          <w:p w14:paraId="718A931C"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CR</w:t>
            </w:r>
          </w:p>
        </w:tc>
        <w:tc>
          <w:tcPr>
            <w:tcW w:w="1200" w:type="dxa"/>
            <w:tcBorders>
              <w:top w:val="nil"/>
              <w:left w:val="nil"/>
              <w:bottom w:val="double" w:sz="6" w:space="0" w:color="auto"/>
              <w:right w:val="nil"/>
            </w:tcBorders>
            <w:noWrap/>
            <w:vAlign w:val="bottom"/>
          </w:tcPr>
          <w:p w14:paraId="6C3A7B8D"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AVE</w:t>
            </w:r>
          </w:p>
        </w:tc>
        <w:tc>
          <w:tcPr>
            <w:tcW w:w="1200" w:type="dxa"/>
            <w:tcBorders>
              <w:top w:val="nil"/>
              <w:left w:val="nil"/>
              <w:bottom w:val="double" w:sz="6" w:space="0" w:color="auto"/>
              <w:right w:val="nil"/>
            </w:tcBorders>
            <w:noWrap/>
            <w:vAlign w:val="bottom"/>
          </w:tcPr>
          <w:p w14:paraId="1AA2BD19"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CR</w:t>
            </w:r>
          </w:p>
        </w:tc>
      </w:tr>
      <w:tr w:rsidR="00E124A8" w:rsidRPr="00E124A8" w14:paraId="7B449D4B" w14:textId="77777777">
        <w:trPr>
          <w:trHeight w:val="300"/>
        </w:trPr>
        <w:tc>
          <w:tcPr>
            <w:tcW w:w="1200" w:type="dxa"/>
            <w:vMerge w:val="restart"/>
            <w:tcBorders>
              <w:top w:val="nil"/>
              <w:left w:val="nil"/>
              <w:bottom w:val="single" w:sz="4" w:space="0" w:color="000000"/>
              <w:right w:val="nil"/>
            </w:tcBorders>
            <w:noWrap/>
            <w:vAlign w:val="center"/>
          </w:tcPr>
          <w:p w14:paraId="72E9D388" w14:textId="77777777" w:rsidR="0093626A" w:rsidRPr="00634580" w:rsidRDefault="00000000" w:rsidP="00634580">
            <w:pPr>
              <w:spacing w:line="360" w:lineRule="auto"/>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DAP</w:t>
            </w:r>
          </w:p>
        </w:tc>
        <w:tc>
          <w:tcPr>
            <w:tcW w:w="1420" w:type="dxa"/>
            <w:tcBorders>
              <w:top w:val="nil"/>
              <w:left w:val="nil"/>
              <w:bottom w:val="nil"/>
              <w:right w:val="nil"/>
            </w:tcBorders>
            <w:noWrap/>
            <w:vAlign w:val="bottom"/>
          </w:tcPr>
          <w:p w14:paraId="0F650B4F"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NP</w:t>
            </w:r>
          </w:p>
        </w:tc>
        <w:tc>
          <w:tcPr>
            <w:tcW w:w="1200" w:type="dxa"/>
            <w:tcBorders>
              <w:top w:val="nil"/>
              <w:left w:val="nil"/>
              <w:bottom w:val="nil"/>
              <w:right w:val="nil"/>
            </w:tcBorders>
            <w:noWrap/>
            <w:vAlign w:val="bottom"/>
          </w:tcPr>
          <w:p w14:paraId="326F95C4"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0.69</w:t>
            </w:r>
          </w:p>
        </w:tc>
        <w:tc>
          <w:tcPr>
            <w:tcW w:w="1200" w:type="dxa"/>
            <w:tcBorders>
              <w:top w:val="nil"/>
              <w:left w:val="nil"/>
              <w:bottom w:val="nil"/>
              <w:right w:val="nil"/>
            </w:tcBorders>
            <w:noWrap/>
            <w:vAlign w:val="bottom"/>
          </w:tcPr>
          <w:p w14:paraId="7DD13F4A"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0.92</w:t>
            </w:r>
          </w:p>
        </w:tc>
        <w:tc>
          <w:tcPr>
            <w:tcW w:w="1200" w:type="dxa"/>
            <w:tcBorders>
              <w:top w:val="double" w:sz="6" w:space="0" w:color="auto"/>
              <w:left w:val="nil"/>
              <w:bottom w:val="nil"/>
              <w:right w:val="nil"/>
            </w:tcBorders>
            <w:shd w:val="clear" w:color="000000" w:fill="auto"/>
            <w:noWrap/>
            <w:vAlign w:val="bottom"/>
          </w:tcPr>
          <w:p w14:paraId="5F75F7D6"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Cumple</w:t>
            </w:r>
          </w:p>
        </w:tc>
        <w:tc>
          <w:tcPr>
            <w:tcW w:w="1200" w:type="dxa"/>
            <w:tcBorders>
              <w:top w:val="double" w:sz="6" w:space="0" w:color="auto"/>
              <w:left w:val="nil"/>
              <w:bottom w:val="nil"/>
              <w:right w:val="nil"/>
            </w:tcBorders>
            <w:shd w:val="clear" w:color="000000" w:fill="auto"/>
            <w:noWrap/>
            <w:vAlign w:val="bottom"/>
          </w:tcPr>
          <w:p w14:paraId="4BB1B39E"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Cumple</w:t>
            </w:r>
          </w:p>
        </w:tc>
      </w:tr>
      <w:tr w:rsidR="00E124A8" w:rsidRPr="00E124A8" w14:paraId="27F01DC1" w14:textId="77777777">
        <w:trPr>
          <w:trHeight w:val="290"/>
        </w:trPr>
        <w:tc>
          <w:tcPr>
            <w:tcW w:w="1200" w:type="dxa"/>
            <w:vMerge/>
            <w:tcBorders>
              <w:top w:val="nil"/>
              <w:left w:val="nil"/>
              <w:bottom w:val="single" w:sz="4" w:space="0" w:color="000000"/>
              <w:right w:val="nil"/>
            </w:tcBorders>
            <w:vAlign w:val="center"/>
          </w:tcPr>
          <w:p w14:paraId="125351D7" w14:textId="77777777" w:rsidR="0093626A" w:rsidRPr="00634580" w:rsidRDefault="0093626A" w:rsidP="00634580">
            <w:pPr>
              <w:spacing w:line="360" w:lineRule="auto"/>
              <w:rPr>
                <w:rFonts w:ascii="Arial" w:eastAsia="Times New Roman" w:hAnsi="Arial" w:cs="Arial"/>
                <w:color w:val="000000" w:themeColor="text1"/>
                <w:sz w:val="24"/>
                <w:szCs w:val="24"/>
                <w:lang w:eastAsia="es-MX"/>
              </w:rPr>
            </w:pPr>
          </w:p>
        </w:tc>
        <w:tc>
          <w:tcPr>
            <w:tcW w:w="1420" w:type="dxa"/>
            <w:tcBorders>
              <w:top w:val="nil"/>
              <w:left w:val="nil"/>
              <w:bottom w:val="single" w:sz="4" w:space="0" w:color="auto"/>
              <w:right w:val="nil"/>
            </w:tcBorders>
            <w:noWrap/>
            <w:vAlign w:val="bottom"/>
          </w:tcPr>
          <w:p w14:paraId="217767DE"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NE</w:t>
            </w:r>
          </w:p>
        </w:tc>
        <w:tc>
          <w:tcPr>
            <w:tcW w:w="1200" w:type="dxa"/>
            <w:tcBorders>
              <w:top w:val="nil"/>
              <w:left w:val="nil"/>
              <w:bottom w:val="single" w:sz="4" w:space="0" w:color="auto"/>
              <w:right w:val="nil"/>
            </w:tcBorders>
            <w:noWrap/>
            <w:vAlign w:val="bottom"/>
          </w:tcPr>
          <w:p w14:paraId="7CD8836A"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0.60</w:t>
            </w:r>
          </w:p>
        </w:tc>
        <w:tc>
          <w:tcPr>
            <w:tcW w:w="1200" w:type="dxa"/>
            <w:tcBorders>
              <w:top w:val="nil"/>
              <w:left w:val="nil"/>
              <w:bottom w:val="single" w:sz="4" w:space="0" w:color="auto"/>
              <w:right w:val="nil"/>
            </w:tcBorders>
            <w:noWrap/>
            <w:vAlign w:val="bottom"/>
          </w:tcPr>
          <w:p w14:paraId="19367C8F"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0.85</w:t>
            </w:r>
          </w:p>
        </w:tc>
        <w:tc>
          <w:tcPr>
            <w:tcW w:w="1200" w:type="dxa"/>
            <w:tcBorders>
              <w:top w:val="nil"/>
              <w:left w:val="nil"/>
              <w:bottom w:val="single" w:sz="4" w:space="0" w:color="auto"/>
              <w:right w:val="nil"/>
            </w:tcBorders>
            <w:shd w:val="clear" w:color="000000" w:fill="auto"/>
            <w:noWrap/>
            <w:vAlign w:val="bottom"/>
          </w:tcPr>
          <w:p w14:paraId="5A5547F3"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Cumple</w:t>
            </w:r>
          </w:p>
        </w:tc>
        <w:tc>
          <w:tcPr>
            <w:tcW w:w="1200" w:type="dxa"/>
            <w:tcBorders>
              <w:top w:val="nil"/>
              <w:left w:val="nil"/>
              <w:bottom w:val="single" w:sz="4" w:space="0" w:color="auto"/>
              <w:right w:val="nil"/>
            </w:tcBorders>
            <w:shd w:val="clear" w:color="000000" w:fill="auto"/>
            <w:noWrap/>
            <w:vAlign w:val="bottom"/>
          </w:tcPr>
          <w:p w14:paraId="14B6127E"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Cumple</w:t>
            </w:r>
          </w:p>
        </w:tc>
      </w:tr>
    </w:tbl>
    <w:p w14:paraId="41B22E82" w14:textId="77777777" w:rsidR="0093626A" w:rsidRPr="00634580" w:rsidRDefault="00000000" w:rsidP="00634580">
      <w:pPr>
        <w:pStyle w:val="APA7a"/>
        <w:spacing w:line="360" w:lineRule="auto"/>
        <w:ind w:firstLine="0"/>
        <w:rPr>
          <w:rFonts w:cs="Arial"/>
          <w:color w:val="000000" w:themeColor="text1"/>
          <w:sz w:val="20"/>
          <w:szCs w:val="20"/>
        </w:rPr>
      </w:pPr>
      <w:r w:rsidRPr="00634580">
        <w:rPr>
          <w:rFonts w:cs="Arial"/>
          <w:color w:val="000000" w:themeColor="text1"/>
          <w:sz w:val="20"/>
          <w:szCs w:val="20"/>
        </w:rPr>
        <w:t>Fuente: Elaboración propia</w:t>
      </w:r>
    </w:p>
    <w:p w14:paraId="6BAF104F" w14:textId="77777777" w:rsidR="0093626A" w:rsidRPr="00634580" w:rsidRDefault="00000000" w:rsidP="00634580">
      <w:pPr>
        <w:pStyle w:val="APA6a-Nor"/>
        <w:spacing w:line="360" w:lineRule="auto"/>
        <w:rPr>
          <w:rFonts w:ascii="Arial" w:hAnsi="Arial" w:cs="Arial"/>
          <w:i/>
          <w:iCs/>
          <w:color w:val="000000" w:themeColor="text1"/>
          <w:sz w:val="24"/>
          <w:szCs w:val="24"/>
        </w:rPr>
      </w:pPr>
      <w:r w:rsidRPr="00634580">
        <w:rPr>
          <w:rFonts w:ascii="Arial" w:hAnsi="Arial" w:cs="Arial"/>
          <w:b/>
          <w:bCs/>
          <w:color w:val="000000" w:themeColor="text1"/>
          <w:sz w:val="24"/>
          <w:szCs w:val="24"/>
        </w:rPr>
        <w:t>Tabla 7.</w:t>
      </w:r>
      <w:r w:rsidRPr="00634580">
        <w:rPr>
          <w:rFonts w:ascii="Arial" w:hAnsi="Arial" w:cs="Arial"/>
          <w:color w:val="000000" w:themeColor="text1"/>
          <w:sz w:val="24"/>
          <w:szCs w:val="24"/>
        </w:rPr>
        <w:t xml:space="preserve"> </w:t>
      </w:r>
      <w:r w:rsidRPr="00634580">
        <w:rPr>
          <w:rFonts w:ascii="Arial" w:hAnsi="Arial" w:cs="Arial"/>
          <w:i/>
          <w:iCs/>
          <w:color w:val="000000" w:themeColor="text1"/>
          <w:sz w:val="24"/>
          <w:szCs w:val="24"/>
        </w:rPr>
        <w:t>Cumplimiento de Validez Discriminante con MSV y ASV</w:t>
      </w:r>
    </w:p>
    <w:tbl>
      <w:tblPr>
        <w:tblW w:w="8640" w:type="dxa"/>
        <w:tblCellMar>
          <w:left w:w="70" w:type="dxa"/>
          <w:right w:w="70" w:type="dxa"/>
        </w:tblCellMar>
        <w:tblLook w:val="04A0" w:firstRow="1" w:lastRow="0" w:firstColumn="1" w:lastColumn="0" w:noHBand="0" w:noVBand="1"/>
      </w:tblPr>
      <w:tblGrid>
        <w:gridCol w:w="1200"/>
        <w:gridCol w:w="1200"/>
        <w:gridCol w:w="1200"/>
        <w:gridCol w:w="240"/>
        <w:gridCol w:w="1200"/>
        <w:gridCol w:w="1200"/>
        <w:gridCol w:w="1200"/>
        <w:gridCol w:w="1200"/>
      </w:tblGrid>
      <w:tr w:rsidR="00E124A8" w:rsidRPr="00E124A8" w14:paraId="0341EB82" w14:textId="77777777">
        <w:trPr>
          <w:trHeight w:val="320"/>
        </w:trPr>
        <w:tc>
          <w:tcPr>
            <w:tcW w:w="1200" w:type="dxa"/>
            <w:tcBorders>
              <w:top w:val="nil"/>
              <w:left w:val="nil"/>
              <w:bottom w:val="double" w:sz="6" w:space="0" w:color="auto"/>
              <w:right w:val="nil"/>
            </w:tcBorders>
            <w:vAlign w:val="bottom"/>
          </w:tcPr>
          <w:p w14:paraId="361193CC"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MSV</w:t>
            </w:r>
          </w:p>
        </w:tc>
        <w:tc>
          <w:tcPr>
            <w:tcW w:w="1200" w:type="dxa"/>
            <w:tcBorders>
              <w:top w:val="nil"/>
              <w:left w:val="nil"/>
              <w:bottom w:val="double" w:sz="6" w:space="0" w:color="auto"/>
              <w:right w:val="nil"/>
            </w:tcBorders>
            <w:vAlign w:val="bottom"/>
          </w:tcPr>
          <w:p w14:paraId="5B5FBE91"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AVE</w:t>
            </w:r>
          </w:p>
        </w:tc>
        <w:tc>
          <w:tcPr>
            <w:tcW w:w="1200" w:type="dxa"/>
            <w:tcBorders>
              <w:top w:val="nil"/>
              <w:left w:val="nil"/>
              <w:bottom w:val="double" w:sz="6" w:space="0" w:color="auto"/>
              <w:right w:val="nil"/>
            </w:tcBorders>
            <w:vAlign w:val="bottom"/>
          </w:tcPr>
          <w:p w14:paraId="031EA921"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Criterio</w:t>
            </w:r>
          </w:p>
        </w:tc>
        <w:tc>
          <w:tcPr>
            <w:tcW w:w="240" w:type="dxa"/>
            <w:tcBorders>
              <w:top w:val="nil"/>
              <w:left w:val="nil"/>
              <w:bottom w:val="nil"/>
              <w:right w:val="nil"/>
            </w:tcBorders>
            <w:noWrap/>
            <w:vAlign w:val="bottom"/>
          </w:tcPr>
          <w:p w14:paraId="4A4B1268" w14:textId="77777777" w:rsidR="0093626A" w:rsidRPr="00634580" w:rsidRDefault="0093626A" w:rsidP="00634580">
            <w:pPr>
              <w:spacing w:line="360" w:lineRule="auto"/>
              <w:jc w:val="center"/>
              <w:rPr>
                <w:rFonts w:ascii="Arial" w:eastAsia="Times New Roman" w:hAnsi="Arial" w:cs="Arial"/>
                <w:color w:val="000000" w:themeColor="text1"/>
                <w:sz w:val="24"/>
                <w:szCs w:val="24"/>
                <w:lang w:eastAsia="es-MX"/>
              </w:rPr>
            </w:pPr>
          </w:p>
        </w:tc>
        <w:tc>
          <w:tcPr>
            <w:tcW w:w="1200" w:type="dxa"/>
            <w:tcBorders>
              <w:top w:val="nil"/>
              <w:left w:val="nil"/>
              <w:bottom w:val="double" w:sz="6" w:space="0" w:color="auto"/>
              <w:right w:val="nil"/>
            </w:tcBorders>
            <w:noWrap/>
            <w:vAlign w:val="bottom"/>
          </w:tcPr>
          <w:p w14:paraId="3D0DFB32" w14:textId="77777777" w:rsidR="0093626A" w:rsidRPr="00634580" w:rsidRDefault="00000000" w:rsidP="00634580">
            <w:pPr>
              <w:spacing w:line="360" w:lineRule="auto"/>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 </w:t>
            </w:r>
          </w:p>
        </w:tc>
        <w:tc>
          <w:tcPr>
            <w:tcW w:w="1200" w:type="dxa"/>
            <w:tcBorders>
              <w:top w:val="nil"/>
              <w:left w:val="nil"/>
              <w:bottom w:val="double" w:sz="6" w:space="0" w:color="auto"/>
              <w:right w:val="nil"/>
            </w:tcBorders>
            <w:vAlign w:val="bottom"/>
          </w:tcPr>
          <w:p w14:paraId="5C6A8EB8"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ASV</w:t>
            </w:r>
          </w:p>
        </w:tc>
        <w:tc>
          <w:tcPr>
            <w:tcW w:w="1200" w:type="dxa"/>
            <w:tcBorders>
              <w:top w:val="nil"/>
              <w:left w:val="nil"/>
              <w:bottom w:val="double" w:sz="6" w:space="0" w:color="auto"/>
              <w:right w:val="nil"/>
            </w:tcBorders>
            <w:vAlign w:val="bottom"/>
          </w:tcPr>
          <w:p w14:paraId="7EF215B6"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AVE</w:t>
            </w:r>
          </w:p>
        </w:tc>
        <w:tc>
          <w:tcPr>
            <w:tcW w:w="1200" w:type="dxa"/>
            <w:tcBorders>
              <w:top w:val="nil"/>
              <w:left w:val="nil"/>
              <w:bottom w:val="double" w:sz="6" w:space="0" w:color="auto"/>
              <w:right w:val="nil"/>
            </w:tcBorders>
            <w:vAlign w:val="bottom"/>
          </w:tcPr>
          <w:p w14:paraId="2837E466"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Criterio</w:t>
            </w:r>
          </w:p>
        </w:tc>
      </w:tr>
      <w:tr w:rsidR="00E124A8" w:rsidRPr="00E124A8" w14:paraId="03E3E1CD" w14:textId="77777777">
        <w:trPr>
          <w:trHeight w:val="320"/>
        </w:trPr>
        <w:tc>
          <w:tcPr>
            <w:tcW w:w="1200" w:type="dxa"/>
            <w:tcBorders>
              <w:top w:val="nil"/>
              <w:left w:val="nil"/>
              <w:right w:val="nil"/>
            </w:tcBorders>
            <w:noWrap/>
            <w:vAlign w:val="bottom"/>
          </w:tcPr>
          <w:p w14:paraId="12F49486"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0.58</w:t>
            </w:r>
          </w:p>
        </w:tc>
        <w:tc>
          <w:tcPr>
            <w:tcW w:w="1200" w:type="dxa"/>
            <w:tcBorders>
              <w:top w:val="nil"/>
              <w:left w:val="nil"/>
              <w:right w:val="nil"/>
            </w:tcBorders>
            <w:noWrap/>
            <w:vAlign w:val="bottom"/>
          </w:tcPr>
          <w:p w14:paraId="4BF2984C"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0.69</w:t>
            </w:r>
          </w:p>
        </w:tc>
        <w:tc>
          <w:tcPr>
            <w:tcW w:w="1200" w:type="dxa"/>
            <w:tcBorders>
              <w:top w:val="double" w:sz="6" w:space="0" w:color="auto"/>
              <w:left w:val="nil"/>
              <w:right w:val="nil"/>
            </w:tcBorders>
            <w:shd w:val="clear" w:color="000000" w:fill="auto"/>
            <w:noWrap/>
            <w:vAlign w:val="bottom"/>
          </w:tcPr>
          <w:p w14:paraId="34C96E42" w14:textId="77777777" w:rsidR="0093626A" w:rsidRPr="00634580" w:rsidRDefault="00000000" w:rsidP="00634580">
            <w:pPr>
              <w:spacing w:line="360" w:lineRule="auto"/>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Cumple</w:t>
            </w:r>
          </w:p>
        </w:tc>
        <w:tc>
          <w:tcPr>
            <w:tcW w:w="240" w:type="dxa"/>
            <w:tcBorders>
              <w:top w:val="nil"/>
              <w:left w:val="nil"/>
              <w:right w:val="nil"/>
            </w:tcBorders>
            <w:noWrap/>
            <w:vAlign w:val="bottom"/>
          </w:tcPr>
          <w:p w14:paraId="2E979ADE" w14:textId="77777777" w:rsidR="0093626A" w:rsidRPr="00634580" w:rsidRDefault="0093626A" w:rsidP="00634580">
            <w:pPr>
              <w:spacing w:line="360" w:lineRule="auto"/>
              <w:rPr>
                <w:rFonts w:ascii="Arial" w:eastAsia="Times New Roman" w:hAnsi="Arial" w:cs="Arial"/>
                <w:b/>
                <w:bCs/>
                <w:color w:val="000000" w:themeColor="text1"/>
                <w:sz w:val="24"/>
                <w:szCs w:val="24"/>
                <w:lang w:eastAsia="es-MX"/>
              </w:rPr>
            </w:pPr>
          </w:p>
        </w:tc>
        <w:tc>
          <w:tcPr>
            <w:tcW w:w="1200" w:type="dxa"/>
            <w:tcBorders>
              <w:top w:val="nil"/>
              <w:left w:val="nil"/>
              <w:right w:val="nil"/>
            </w:tcBorders>
            <w:vAlign w:val="bottom"/>
          </w:tcPr>
          <w:p w14:paraId="091CF5AB"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NP</w:t>
            </w:r>
          </w:p>
        </w:tc>
        <w:tc>
          <w:tcPr>
            <w:tcW w:w="1200" w:type="dxa"/>
            <w:tcBorders>
              <w:top w:val="nil"/>
              <w:left w:val="nil"/>
              <w:right w:val="nil"/>
            </w:tcBorders>
            <w:noWrap/>
            <w:vAlign w:val="bottom"/>
          </w:tcPr>
          <w:p w14:paraId="37094B62"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0.58</w:t>
            </w:r>
          </w:p>
        </w:tc>
        <w:tc>
          <w:tcPr>
            <w:tcW w:w="1200" w:type="dxa"/>
            <w:tcBorders>
              <w:top w:val="nil"/>
              <w:left w:val="nil"/>
              <w:right w:val="nil"/>
            </w:tcBorders>
            <w:noWrap/>
            <w:vAlign w:val="bottom"/>
          </w:tcPr>
          <w:p w14:paraId="7A9DB328"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0.69</w:t>
            </w:r>
          </w:p>
        </w:tc>
        <w:tc>
          <w:tcPr>
            <w:tcW w:w="1200" w:type="dxa"/>
            <w:tcBorders>
              <w:top w:val="double" w:sz="6" w:space="0" w:color="auto"/>
              <w:left w:val="nil"/>
              <w:right w:val="nil"/>
            </w:tcBorders>
            <w:shd w:val="clear" w:color="000000" w:fill="auto"/>
            <w:noWrap/>
            <w:vAlign w:val="bottom"/>
          </w:tcPr>
          <w:p w14:paraId="0EEF0D74" w14:textId="77777777" w:rsidR="0093626A" w:rsidRPr="00634580" w:rsidRDefault="00000000" w:rsidP="00634580">
            <w:pPr>
              <w:spacing w:line="360" w:lineRule="auto"/>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Cumple</w:t>
            </w:r>
          </w:p>
        </w:tc>
      </w:tr>
      <w:tr w:rsidR="00E124A8" w:rsidRPr="00E124A8" w14:paraId="381E8188" w14:textId="77777777">
        <w:trPr>
          <w:trHeight w:val="320"/>
        </w:trPr>
        <w:tc>
          <w:tcPr>
            <w:tcW w:w="1200" w:type="dxa"/>
            <w:tcBorders>
              <w:top w:val="nil"/>
              <w:left w:val="nil"/>
              <w:bottom w:val="single" w:sz="8" w:space="0" w:color="auto"/>
              <w:right w:val="nil"/>
            </w:tcBorders>
            <w:noWrap/>
            <w:vAlign w:val="bottom"/>
          </w:tcPr>
          <w:p w14:paraId="585A33F6"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0.58</w:t>
            </w:r>
          </w:p>
        </w:tc>
        <w:tc>
          <w:tcPr>
            <w:tcW w:w="1200" w:type="dxa"/>
            <w:tcBorders>
              <w:top w:val="nil"/>
              <w:left w:val="nil"/>
              <w:bottom w:val="single" w:sz="8" w:space="0" w:color="auto"/>
              <w:right w:val="nil"/>
            </w:tcBorders>
            <w:noWrap/>
            <w:vAlign w:val="bottom"/>
          </w:tcPr>
          <w:p w14:paraId="178850F1"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0.60</w:t>
            </w:r>
          </w:p>
        </w:tc>
        <w:tc>
          <w:tcPr>
            <w:tcW w:w="1200" w:type="dxa"/>
            <w:tcBorders>
              <w:top w:val="nil"/>
              <w:left w:val="nil"/>
              <w:bottom w:val="single" w:sz="8" w:space="0" w:color="auto"/>
              <w:right w:val="nil"/>
            </w:tcBorders>
            <w:shd w:val="clear" w:color="000000" w:fill="auto"/>
            <w:noWrap/>
            <w:vAlign w:val="bottom"/>
          </w:tcPr>
          <w:p w14:paraId="6395E898" w14:textId="77777777" w:rsidR="0093626A" w:rsidRPr="00634580" w:rsidRDefault="00000000" w:rsidP="00634580">
            <w:pPr>
              <w:spacing w:line="360" w:lineRule="auto"/>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Cumple</w:t>
            </w:r>
          </w:p>
        </w:tc>
        <w:tc>
          <w:tcPr>
            <w:tcW w:w="240" w:type="dxa"/>
            <w:tcBorders>
              <w:top w:val="nil"/>
              <w:left w:val="nil"/>
              <w:right w:val="nil"/>
            </w:tcBorders>
            <w:noWrap/>
            <w:vAlign w:val="bottom"/>
          </w:tcPr>
          <w:p w14:paraId="0908EE28" w14:textId="77777777" w:rsidR="0093626A" w:rsidRPr="00634580" w:rsidRDefault="0093626A" w:rsidP="00634580">
            <w:pPr>
              <w:spacing w:line="360" w:lineRule="auto"/>
              <w:rPr>
                <w:rFonts w:ascii="Arial" w:eastAsia="Times New Roman" w:hAnsi="Arial" w:cs="Arial"/>
                <w:b/>
                <w:bCs/>
                <w:color w:val="000000" w:themeColor="text1"/>
                <w:sz w:val="24"/>
                <w:szCs w:val="24"/>
                <w:lang w:eastAsia="es-MX"/>
              </w:rPr>
            </w:pPr>
          </w:p>
        </w:tc>
        <w:tc>
          <w:tcPr>
            <w:tcW w:w="1200" w:type="dxa"/>
            <w:tcBorders>
              <w:top w:val="nil"/>
              <w:left w:val="nil"/>
              <w:bottom w:val="single" w:sz="8" w:space="0" w:color="auto"/>
              <w:right w:val="nil"/>
            </w:tcBorders>
            <w:vAlign w:val="bottom"/>
          </w:tcPr>
          <w:p w14:paraId="36A52D54"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NE</w:t>
            </w:r>
          </w:p>
        </w:tc>
        <w:tc>
          <w:tcPr>
            <w:tcW w:w="1200" w:type="dxa"/>
            <w:tcBorders>
              <w:top w:val="nil"/>
              <w:left w:val="nil"/>
              <w:bottom w:val="single" w:sz="8" w:space="0" w:color="auto"/>
              <w:right w:val="nil"/>
            </w:tcBorders>
            <w:noWrap/>
            <w:vAlign w:val="bottom"/>
          </w:tcPr>
          <w:p w14:paraId="79C8BD37"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0.58</w:t>
            </w:r>
          </w:p>
        </w:tc>
        <w:tc>
          <w:tcPr>
            <w:tcW w:w="1200" w:type="dxa"/>
            <w:tcBorders>
              <w:top w:val="nil"/>
              <w:left w:val="nil"/>
              <w:bottom w:val="single" w:sz="8" w:space="0" w:color="auto"/>
              <w:right w:val="nil"/>
            </w:tcBorders>
            <w:noWrap/>
            <w:vAlign w:val="bottom"/>
          </w:tcPr>
          <w:p w14:paraId="250FCEAF" w14:textId="77777777" w:rsidR="0093626A" w:rsidRPr="00634580" w:rsidRDefault="00000000" w:rsidP="00634580">
            <w:pPr>
              <w:spacing w:line="360" w:lineRule="auto"/>
              <w:jc w:val="center"/>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0.60</w:t>
            </w:r>
          </w:p>
        </w:tc>
        <w:tc>
          <w:tcPr>
            <w:tcW w:w="1200" w:type="dxa"/>
            <w:tcBorders>
              <w:top w:val="nil"/>
              <w:left w:val="nil"/>
              <w:bottom w:val="single" w:sz="8" w:space="0" w:color="auto"/>
              <w:right w:val="nil"/>
            </w:tcBorders>
            <w:shd w:val="clear" w:color="000000" w:fill="auto"/>
            <w:noWrap/>
            <w:vAlign w:val="bottom"/>
          </w:tcPr>
          <w:p w14:paraId="6A78D209" w14:textId="77777777" w:rsidR="0093626A" w:rsidRPr="00634580" w:rsidRDefault="00000000" w:rsidP="00634580">
            <w:pPr>
              <w:spacing w:line="360" w:lineRule="auto"/>
              <w:rPr>
                <w:rFonts w:ascii="Arial" w:eastAsia="Times New Roman" w:hAnsi="Arial" w:cs="Arial"/>
                <w:color w:val="000000" w:themeColor="text1"/>
                <w:sz w:val="24"/>
                <w:szCs w:val="24"/>
                <w:lang w:eastAsia="es-MX"/>
              </w:rPr>
            </w:pPr>
            <w:r w:rsidRPr="00634580">
              <w:rPr>
                <w:rFonts w:ascii="Arial" w:eastAsia="Times New Roman" w:hAnsi="Arial" w:cs="Arial"/>
                <w:color w:val="000000" w:themeColor="text1"/>
                <w:sz w:val="24"/>
                <w:szCs w:val="24"/>
                <w:lang w:eastAsia="es-MX"/>
              </w:rPr>
              <w:t>Cumple</w:t>
            </w:r>
          </w:p>
        </w:tc>
      </w:tr>
    </w:tbl>
    <w:p w14:paraId="055C0538" w14:textId="77777777" w:rsidR="0093626A" w:rsidRPr="00634580" w:rsidRDefault="00000000" w:rsidP="00634580">
      <w:pPr>
        <w:pStyle w:val="APA7a"/>
        <w:spacing w:line="360" w:lineRule="auto"/>
        <w:ind w:firstLine="0"/>
        <w:rPr>
          <w:rFonts w:cs="Arial"/>
          <w:color w:val="000000" w:themeColor="text1"/>
          <w:sz w:val="20"/>
          <w:szCs w:val="20"/>
        </w:rPr>
      </w:pPr>
      <w:r w:rsidRPr="00634580">
        <w:rPr>
          <w:rFonts w:cs="Arial"/>
          <w:color w:val="000000" w:themeColor="text1"/>
          <w:sz w:val="20"/>
          <w:szCs w:val="20"/>
        </w:rPr>
        <w:t>Fuente: Elaboración propia</w:t>
      </w:r>
    </w:p>
    <w:p w14:paraId="3640DB69" w14:textId="7D0344DD" w:rsidR="0093626A" w:rsidRPr="00634580" w:rsidRDefault="00000000" w:rsidP="00634580">
      <w:pPr>
        <w:spacing w:line="360" w:lineRule="auto"/>
        <w:ind w:firstLine="708"/>
        <w:rPr>
          <w:rFonts w:ascii="Arial" w:hAnsi="Arial" w:cs="Arial"/>
          <w:color w:val="000000" w:themeColor="text1"/>
          <w:sz w:val="24"/>
          <w:szCs w:val="24"/>
        </w:rPr>
      </w:pPr>
      <w:r w:rsidRPr="00634580">
        <w:rPr>
          <w:rFonts w:ascii="Arial" w:hAnsi="Arial" w:cs="Arial"/>
          <w:color w:val="000000" w:themeColor="text1"/>
          <w:sz w:val="24"/>
          <w:szCs w:val="24"/>
        </w:rPr>
        <w:t xml:space="preserve">De esta manera, se comprobó la validez de contenido, convergente y discriminante que el instrumento de medición tuvo en su aplicación al Sector de O&amp;G mexicano, con una versión final de 25 ítems: 11 para </w:t>
      </w:r>
      <w:r w:rsidR="00B827DF" w:rsidRPr="00B827DF">
        <w:rPr>
          <w:rFonts w:ascii="Arial" w:hAnsi="Arial" w:cs="Arial"/>
          <w:color w:val="000000" w:themeColor="text1"/>
          <w:sz w:val="24"/>
          <w:szCs w:val="24"/>
        </w:rPr>
        <w:t>las variables</w:t>
      </w:r>
      <w:r w:rsidRPr="00634580">
        <w:rPr>
          <w:rFonts w:ascii="Arial" w:hAnsi="Arial" w:cs="Arial"/>
          <w:color w:val="000000" w:themeColor="text1"/>
          <w:sz w:val="24"/>
          <w:szCs w:val="24"/>
        </w:rPr>
        <w:t xml:space="preserve"> de medición DAP más las 14 de control.</w:t>
      </w:r>
    </w:p>
    <w:p w14:paraId="712E091C" w14:textId="77777777" w:rsidR="0093626A" w:rsidRPr="00634580" w:rsidRDefault="00000000" w:rsidP="00634580">
      <w:pPr>
        <w:pStyle w:val="Ttulo1"/>
        <w:spacing w:line="360" w:lineRule="auto"/>
        <w:rPr>
          <w:rFonts w:ascii="Arial" w:hAnsi="Arial" w:cs="Arial"/>
          <w:b/>
          <w:bCs/>
          <w:color w:val="000000" w:themeColor="text1"/>
          <w:sz w:val="24"/>
          <w:szCs w:val="24"/>
        </w:rPr>
      </w:pPr>
      <w:r w:rsidRPr="00634580">
        <w:rPr>
          <w:rFonts w:ascii="Arial" w:hAnsi="Arial" w:cs="Arial"/>
          <w:b/>
          <w:bCs/>
          <w:color w:val="000000" w:themeColor="text1"/>
          <w:sz w:val="24"/>
          <w:szCs w:val="24"/>
        </w:rPr>
        <w:t xml:space="preserve">Conclusiones y Recomendaciones </w:t>
      </w:r>
    </w:p>
    <w:p w14:paraId="0E205955" w14:textId="77777777" w:rsidR="0093626A" w:rsidRPr="00634580" w:rsidRDefault="00000000" w:rsidP="00634580">
      <w:pPr>
        <w:spacing w:line="360" w:lineRule="auto"/>
        <w:rPr>
          <w:rFonts w:ascii="Arial" w:hAnsi="Arial" w:cs="Arial"/>
          <w:color w:val="000000" w:themeColor="text1"/>
          <w:sz w:val="24"/>
          <w:szCs w:val="24"/>
        </w:rPr>
      </w:pPr>
      <w:r w:rsidRPr="00634580">
        <w:rPr>
          <w:rFonts w:ascii="Arial" w:hAnsi="Arial" w:cs="Arial"/>
          <w:color w:val="000000" w:themeColor="text1"/>
          <w:sz w:val="24"/>
          <w:szCs w:val="24"/>
        </w:rPr>
        <w:t>La cimentación teórica de la disciplina es controversial por haber nacido muy sesgada hacia la praxis, vinculada en sus inicios al enfoque positivista y pragmático de la teoría de tipo prescriptivo, sin embargo, en su evolución, la base teórica de la Administración de Proyectos, aunque se considere novel, recientemente ha tenido estudios con bases teóricas y empíricas como el que sustentó la presente investigación.</w:t>
      </w:r>
    </w:p>
    <w:p w14:paraId="0A0FC38F" w14:textId="77777777" w:rsidR="0093626A" w:rsidRPr="00634580" w:rsidRDefault="00000000" w:rsidP="00634580">
      <w:pPr>
        <w:spacing w:line="360" w:lineRule="auto"/>
        <w:ind w:firstLine="708"/>
        <w:rPr>
          <w:rFonts w:ascii="Arial" w:hAnsi="Arial" w:cs="Arial"/>
          <w:color w:val="000000" w:themeColor="text1"/>
          <w:sz w:val="24"/>
          <w:szCs w:val="24"/>
        </w:rPr>
      </w:pPr>
      <w:r w:rsidRPr="00634580">
        <w:rPr>
          <w:rFonts w:ascii="Arial" w:hAnsi="Arial" w:cs="Arial"/>
          <w:color w:val="000000" w:themeColor="text1"/>
          <w:sz w:val="24"/>
          <w:szCs w:val="24"/>
        </w:rPr>
        <w:lastRenderedPageBreak/>
        <w:t>Los resultados obtenidos cobran relevancia ante la tendencia creciente de múltiples industrias hacia la organización basada en proyectos que les permite crear y mantener ventajas competitivas con mayor agilidad, ante el contexto mundial de grandes y disruptivos cambios, como es el caso del sector O&amp;G mexicano.</w:t>
      </w:r>
    </w:p>
    <w:p w14:paraId="19CE08D6" w14:textId="77777777" w:rsidR="0093626A" w:rsidRPr="00634580" w:rsidRDefault="00000000" w:rsidP="00634580">
      <w:pPr>
        <w:spacing w:line="360" w:lineRule="auto"/>
        <w:ind w:firstLine="708"/>
        <w:rPr>
          <w:rFonts w:ascii="Arial" w:hAnsi="Arial" w:cs="Arial"/>
          <w:color w:val="000000" w:themeColor="text1"/>
          <w:sz w:val="24"/>
          <w:szCs w:val="24"/>
        </w:rPr>
      </w:pPr>
      <w:r w:rsidRPr="00634580">
        <w:rPr>
          <w:rFonts w:ascii="Arial" w:hAnsi="Arial" w:cs="Arial"/>
          <w:color w:val="000000" w:themeColor="text1"/>
          <w:sz w:val="24"/>
          <w:szCs w:val="24"/>
        </w:rPr>
        <w:t>El desarrollo de la prueba piloto permitió obtener conclusiones cuantitativas relevantes a partir del análisis de los datos recabados y los resultados del análisis factorial:</w:t>
      </w:r>
    </w:p>
    <w:p w14:paraId="1035C2F3" w14:textId="77777777" w:rsidR="0093626A" w:rsidRPr="00634580" w:rsidRDefault="00000000" w:rsidP="00634580">
      <w:pPr>
        <w:spacing w:line="360" w:lineRule="auto"/>
        <w:ind w:firstLine="708"/>
        <w:rPr>
          <w:rFonts w:ascii="Arial" w:hAnsi="Arial" w:cs="Arial"/>
          <w:color w:val="000000" w:themeColor="text1"/>
          <w:sz w:val="24"/>
          <w:szCs w:val="24"/>
        </w:rPr>
      </w:pPr>
      <w:r w:rsidRPr="00634580">
        <w:rPr>
          <w:rFonts w:ascii="Arial" w:hAnsi="Arial" w:cs="Arial"/>
          <w:color w:val="000000" w:themeColor="text1"/>
          <w:sz w:val="24"/>
          <w:szCs w:val="24"/>
        </w:rPr>
        <w:t xml:space="preserve">En primer lugar, en el análisis de la conformación de la muestra se tuvieron dos hallazgos que pueden tener implicaciones a considerar para los administradores y directivos, por un lado, que el sector O&amp;G en México presentó un 16% más de mujeres que las estadísticas promedio mundial del sector. Por otro lado, que más del 90% de los respondientes son líderes o miembros de equipos de proyecto y consideran que existe soporte organizacional hacia la administración de proyectos. Se recomienda confirmar estos hallazgos con un levantamiento más grande. </w:t>
      </w:r>
    </w:p>
    <w:p w14:paraId="7984A982" w14:textId="77777777" w:rsidR="0093626A" w:rsidRPr="00634580" w:rsidRDefault="00000000" w:rsidP="00634580">
      <w:pPr>
        <w:spacing w:line="360" w:lineRule="auto"/>
        <w:ind w:firstLine="708"/>
        <w:rPr>
          <w:rFonts w:ascii="Arial" w:hAnsi="Arial" w:cs="Arial"/>
          <w:color w:val="000000" w:themeColor="text1"/>
          <w:sz w:val="24"/>
          <w:szCs w:val="24"/>
        </w:rPr>
      </w:pPr>
      <w:r w:rsidRPr="00634580">
        <w:rPr>
          <w:rFonts w:ascii="Arial" w:hAnsi="Arial" w:cs="Arial"/>
          <w:color w:val="000000" w:themeColor="text1"/>
          <w:sz w:val="24"/>
          <w:szCs w:val="24"/>
        </w:rPr>
        <w:t>En segundo lugar, se cubrió el objetivo de estudio con la confirmación de validez estadística mediante análisis factorial confirmatorio del instrumento de medición integrado y adaptado, en el contexto mexicano del sector O&amp;G, lo que representa una contribución empírica en la disciplina de Administración de Proyectos.</w:t>
      </w:r>
    </w:p>
    <w:p w14:paraId="7167DA22" w14:textId="77777777" w:rsidR="0093626A" w:rsidRPr="00634580" w:rsidRDefault="00000000" w:rsidP="00634580">
      <w:pPr>
        <w:spacing w:line="360" w:lineRule="auto"/>
        <w:ind w:firstLine="708"/>
        <w:rPr>
          <w:rFonts w:ascii="Arial" w:hAnsi="Arial" w:cs="Arial"/>
          <w:color w:val="000000" w:themeColor="text1"/>
          <w:sz w:val="24"/>
          <w:szCs w:val="24"/>
        </w:rPr>
      </w:pPr>
      <w:r w:rsidRPr="00634580">
        <w:rPr>
          <w:rFonts w:ascii="Arial" w:hAnsi="Arial" w:cs="Arial"/>
          <w:color w:val="000000" w:themeColor="text1"/>
          <w:sz w:val="24"/>
          <w:szCs w:val="24"/>
        </w:rPr>
        <w:t>Se recomienda continuar la aplicación del instrumento con una muestra de mayor alcance que sea representativa de la población para el Sector O&amp;G, así como extender el constructo de investigación con otras variables de medición que sean relevantes en el sector.</w:t>
      </w:r>
    </w:p>
    <w:sdt>
      <w:sdtPr>
        <w:rPr>
          <w:rFonts w:ascii="Arial" w:eastAsiaTheme="minorHAnsi" w:hAnsi="Arial" w:cs="Arial"/>
          <w:color w:val="000000" w:themeColor="text1"/>
          <w:sz w:val="24"/>
          <w:szCs w:val="24"/>
          <w:lang w:val="es-MX"/>
        </w:rPr>
        <w:id w:val="-504441733"/>
      </w:sdtPr>
      <w:sdtEndPr>
        <w:rPr>
          <w:color w:val="auto"/>
        </w:rPr>
      </w:sdtEndPr>
      <w:sdtContent>
        <w:p w14:paraId="38283892" w14:textId="77777777" w:rsidR="0093626A" w:rsidRPr="00634580" w:rsidRDefault="00000000" w:rsidP="00634580">
          <w:pPr>
            <w:pStyle w:val="Ttulo1"/>
            <w:spacing w:line="360" w:lineRule="auto"/>
            <w:rPr>
              <w:rFonts w:ascii="Arial" w:hAnsi="Arial" w:cs="Arial"/>
              <w:color w:val="000000" w:themeColor="text1"/>
              <w:sz w:val="24"/>
              <w:szCs w:val="24"/>
              <w:lang w:val="en-US"/>
            </w:rPr>
          </w:pPr>
          <w:r w:rsidRPr="00634580">
            <w:rPr>
              <w:rFonts w:ascii="Arial" w:hAnsi="Arial" w:cs="Arial"/>
              <w:color w:val="000000" w:themeColor="text1"/>
              <w:sz w:val="24"/>
              <w:szCs w:val="24"/>
              <w:lang w:val="en-US"/>
            </w:rPr>
            <w:t>Referencias</w:t>
          </w:r>
        </w:p>
        <w:sdt>
          <w:sdtPr>
            <w:rPr>
              <w:rFonts w:ascii="Arial" w:hAnsi="Arial" w:cs="Arial"/>
              <w:color w:val="000000" w:themeColor="text1"/>
              <w:sz w:val="24"/>
              <w:szCs w:val="24"/>
              <w:lang w:val="es-MX"/>
            </w:rPr>
            <w:id w:val="-573587230"/>
          </w:sdtPr>
          <w:sdtEndPr>
            <w:rPr>
              <w:color w:val="auto"/>
            </w:rPr>
          </w:sdtEndPr>
          <w:sdtContent>
            <w:p w14:paraId="7A0F1A5E" w14:textId="77777777" w:rsidR="0093626A" w:rsidRPr="00634580" w:rsidRDefault="00000000" w:rsidP="00634580">
              <w:pPr>
                <w:pStyle w:val="Bibliografa1"/>
                <w:spacing w:line="360" w:lineRule="auto"/>
                <w:rPr>
                  <w:rFonts w:ascii="Arial" w:hAnsi="Arial" w:cs="Arial"/>
                  <w:color w:val="000000" w:themeColor="text1"/>
                  <w:sz w:val="24"/>
                  <w:szCs w:val="24"/>
                  <w:lang w:val="en-US"/>
                </w:rPr>
              </w:pPr>
              <w:r w:rsidRPr="00634580">
                <w:rPr>
                  <w:rFonts w:ascii="Arial" w:hAnsi="Arial" w:cs="Arial"/>
                  <w:color w:val="000000" w:themeColor="text1"/>
                  <w:sz w:val="24"/>
                  <w:szCs w:val="24"/>
                </w:rPr>
                <w:fldChar w:fldCharType="begin"/>
              </w:r>
              <w:r w:rsidRPr="00634580">
                <w:rPr>
                  <w:rFonts w:ascii="Arial" w:hAnsi="Arial" w:cs="Arial"/>
                  <w:color w:val="000000" w:themeColor="text1"/>
                  <w:sz w:val="24"/>
                  <w:szCs w:val="24"/>
                  <w:lang w:val="en-US"/>
                </w:rPr>
                <w:instrText>BIBLIOGRAPHY</w:instrText>
              </w:r>
              <w:r w:rsidRPr="00634580">
                <w:rPr>
                  <w:rFonts w:ascii="Arial" w:hAnsi="Arial" w:cs="Arial"/>
                  <w:color w:val="000000" w:themeColor="text1"/>
                  <w:sz w:val="24"/>
                  <w:szCs w:val="24"/>
                </w:rPr>
                <w:fldChar w:fldCharType="separate"/>
              </w:r>
              <w:r w:rsidRPr="00634580">
                <w:rPr>
                  <w:rFonts w:ascii="Arial" w:hAnsi="Arial" w:cs="Arial"/>
                  <w:color w:val="000000" w:themeColor="text1"/>
                  <w:sz w:val="24"/>
                  <w:szCs w:val="24"/>
                  <w:lang w:val="en-US"/>
                </w:rPr>
                <w:t xml:space="preserve">Artto, K., Gemünden, G., Walker, D., &amp; Peippo-Lavikka, P. (2017). Is there only one way of project management theorizing, or are there multiple sector-specific </w:t>
              </w:r>
              <w:r w:rsidRPr="00634580">
                <w:rPr>
                  <w:rFonts w:ascii="Arial" w:hAnsi="Arial" w:cs="Arial"/>
                  <w:color w:val="000000" w:themeColor="text1"/>
                  <w:sz w:val="24"/>
                  <w:szCs w:val="24"/>
                  <w:lang w:val="en-US"/>
                </w:rPr>
                <w:lastRenderedPageBreak/>
                <w:t xml:space="preserve">project management domains? </w:t>
              </w:r>
              <w:r w:rsidRPr="00634580">
                <w:rPr>
                  <w:rFonts w:ascii="Arial" w:hAnsi="Arial" w:cs="Arial"/>
                  <w:i/>
                  <w:iCs/>
                  <w:color w:val="000000" w:themeColor="text1"/>
                  <w:sz w:val="24"/>
                  <w:szCs w:val="24"/>
                  <w:lang w:val="en-US"/>
                </w:rPr>
                <w:t>International Journal of Managing Projects in Business, 10</w:t>
              </w:r>
              <w:r w:rsidRPr="00634580">
                <w:rPr>
                  <w:rFonts w:ascii="Arial" w:hAnsi="Arial" w:cs="Arial"/>
                  <w:color w:val="000000" w:themeColor="text1"/>
                  <w:sz w:val="24"/>
                  <w:szCs w:val="24"/>
                  <w:lang w:val="en-US"/>
                </w:rPr>
                <w:t>. doi:http://dx.doi.org/10.1108/IJMPB-07-2016-0057</w:t>
              </w:r>
            </w:p>
            <w:p w14:paraId="3073867B" w14:textId="77777777" w:rsidR="0093626A" w:rsidRPr="00634580" w:rsidRDefault="00000000" w:rsidP="00634580">
              <w:pPr>
                <w:pStyle w:val="Bibliografa1"/>
                <w:spacing w:line="360" w:lineRule="auto"/>
                <w:rPr>
                  <w:rFonts w:ascii="Arial" w:hAnsi="Arial" w:cs="Arial"/>
                  <w:color w:val="000000" w:themeColor="text1"/>
                  <w:sz w:val="24"/>
                  <w:szCs w:val="24"/>
                </w:rPr>
              </w:pPr>
              <w:r w:rsidRPr="00634580">
                <w:rPr>
                  <w:rFonts w:ascii="Arial" w:hAnsi="Arial" w:cs="Arial"/>
                  <w:color w:val="000000" w:themeColor="text1"/>
                  <w:sz w:val="24"/>
                  <w:szCs w:val="24"/>
                  <w:lang w:val="en-US"/>
                </w:rPr>
                <w:t xml:space="preserve">Brink, H., Muthiah, S., &amp; Rieniets, S. (2020). The winning moves in project-based services. </w:t>
              </w:r>
              <w:r w:rsidRPr="00634580">
                <w:rPr>
                  <w:rFonts w:ascii="Arial" w:hAnsi="Arial" w:cs="Arial"/>
                  <w:i/>
                  <w:iCs/>
                  <w:color w:val="000000" w:themeColor="text1"/>
                  <w:sz w:val="24"/>
                  <w:szCs w:val="24"/>
                </w:rPr>
                <w:t>McKinsey &amp; Company.</w:t>
              </w:r>
              <w:r w:rsidRPr="00634580">
                <w:rPr>
                  <w:rFonts w:ascii="Arial" w:hAnsi="Arial" w:cs="Arial"/>
                  <w:color w:val="000000" w:themeColor="text1"/>
                  <w:sz w:val="24"/>
                  <w:szCs w:val="24"/>
                </w:rPr>
                <w:t>, 1-8. Obtenido de https://www.mckinsey.com/business-functions/operations/our-insights/the-winning-moves-in-project-based-services?cid=soc-app</w:t>
              </w:r>
            </w:p>
            <w:p w14:paraId="5AFAD9C0" w14:textId="77777777" w:rsidR="0093626A" w:rsidRPr="00634580" w:rsidRDefault="00000000" w:rsidP="00634580">
              <w:pPr>
                <w:pStyle w:val="Bibliografa1"/>
                <w:spacing w:line="360" w:lineRule="auto"/>
                <w:rPr>
                  <w:rFonts w:ascii="Arial" w:hAnsi="Arial" w:cs="Arial"/>
                  <w:color w:val="000000" w:themeColor="text1"/>
                  <w:sz w:val="24"/>
                  <w:szCs w:val="24"/>
                  <w:lang w:val="en-US"/>
                </w:rPr>
              </w:pPr>
              <w:r w:rsidRPr="00634580">
                <w:rPr>
                  <w:rFonts w:ascii="Arial" w:hAnsi="Arial" w:cs="Arial"/>
                  <w:color w:val="000000" w:themeColor="text1"/>
                  <w:sz w:val="24"/>
                  <w:szCs w:val="24"/>
                  <w:lang w:val="en-US"/>
                </w:rPr>
                <w:t xml:space="preserve">Chiu, Y. (2011). </w:t>
              </w:r>
              <w:r w:rsidRPr="00634580">
                <w:rPr>
                  <w:rFonts w:ascii="Arial" w:hAnsi="Arial" w:cs="Arial"/>
                  <w:i/>
                  <w:iCs/>
                  <w:color w:val="000000" w:themeColor="text1"/>
                  <w:sz w:val="24"/>
                  <w:szCs w:val="24"/>
                  <w:lang w:val="en-US"/>
                </w:rPr>
                <w:t>A History of Ancient Project Management</w:t>
              </w:r>
              <w:r w:rsidRPr="00634580">
                <w:rPr>
                  <w:rFonts w:ascii="Arial" w:hAnsi="Arial" w:cs="Arial"/>
                  <w:color w:val="000000" w:themeColor="text1"/>
                  <w:sz w:val="24"/>
                  <w:szCs w:val="24"/>
                  <w:lang w:val="en-US"/>
                </w:rPr>
                <w:t xml:space="preserve"> (E-Book ed.). Eburon Academic Publishers.</w:t>
              </w:r>
            </w:p>
            <w:p w14:paraId="64807603" w14:textId="77777777" w:rsidR="0093626A" w:rsidRPr="00634580" w:rsidRDefault="00000000" w:rsidP="005915A7">
              <w:pPr>
                <w:pStyle w:val="RefAPA7"/>
                <w:spacing w:line="360" w:lineRule="auto"/>
                <w:contextualSpacing/>
                <w:rPr>
                  <w:rFonts w:ascii="Arial" w:hAnsi="Arial" w:cs="Arial"/>
                  <w:color w:val="000000" w:themeColor="text1"/>
                  <w:sz w:val="24"/>
                  <w:szCs w:val="24"/>
                  <w:lang w:val="en-US"/>
                </w:rPr>
              </w:pPr>
              <w:r w:rsidRPr="00634580">
                <w:rPr>
                  <w:rFonts w:ascii="Arial" w:hAnsi="Arial" w:cs="Arial"/>
                  <w:color w:val="000000" w:themeColor="text1"/>
                  <w:sz w:val="24"/>
                  <w:szCs w:val="24"/>
                  <w:shd w:val="clear" w:color="auto" w:fill="FFFFFF"/>
                  <w:lang w:val="en-US"/>
                </w:rPr>
                <w:t xml:space="preserve">Fornell, C., &amp; Larcker, D. F. (1981). Structural Equation Models with Unobservable Variables and Measurement Error: Algebra and Statistics. Journal of </w:t>
              </w:r>
              <w:r w:rsidRPr="00634580">
                <w:rPr>
                  <w:rFonts w:ascii="Arial" w:hAnsi="Arial" w:cs="Arial"/>
                  <w:i/>
                  <w:iCs/>
                  <w:color w:val="000000" w:themeColor="text1"/>
                  <w:sz w:val="24"/>
                  <w:szCs w:val="24"/>
                  <w:shd w:val="clear" w:color="auto" w:fill="FFFFFF"/>
                  <w:lang w:val="en-US"/>
                </w:rPr>
                <w:t>Marketing Research</w:t>
              </w:r>
              <w:r w:rsidRPr="00634580">
                <w:rPr>
                  <w:rFonts w:ascii="Arial" w:hAnsi="Arial" w:cs="Arial"/>
                  <w:color w:val="000000" w:themeColor="text1"/>
                  <w:sz w:val="24"/>
                  <w:szCs w:val="24"/>
                  <w:shd w:val="clear" w:color="auto" w:fill="FFFFFF"/>
                  <w:lang w:val="en-US"/>
                </w:rPr>
                <w:t xml:space="preserve">, 18, 382-388. </w:t>
              </w:r>
            </w:p>
            <w:p w14:paraId="2F3C3412" w14:textId="77777777" w:rsidR="0093626A" w:rsidRPr="00634580" w:rsidRDefault="00000000" w:rsidP="00634580">
              <w:pPr>
                <w:pStyle w:val="Bibliografa1"/>
                <w:spacing w:line="360" w:lineRule="auto"/>
                <w:rPr>
                  <w:rFonts w:ascii="Arial" w:hAnsi="Arial" w:cs="Arial"/>
                  <w:color w:val="000000" w:themeColor="text1"/>
                  <w:sz w:val="24"/>
                  <w:szCs w:val="24"/>
                  <w:lang w:val="en-US"/>
                </w:rPr>
              </w:pPr>
              <w:r w:rsidRPr="00634580">
                <w:rPr>
                  <w:rFonts w:ascii="Arial" w:hAnsi="Arial" w:cs="Arial"/>
                  <w:color w:val="000000" w:themeColor="text1"/>
                  <w:sz w:val="24"/>
                  <w:szCs w:val="24"/>
                  <w:lang w:val="en-US"/>
                </w:rPr>
                <w:t xml:space="preserve">Hair, J., Black, W., Babin, B., &amp; Anderson, R. (2010). </w:t>
              </w:r>
              <w:r w:rsidRPr="00634580">
                <w:rPr>
                  <w:rFonts w:ascii="Arial" w:hAnsi="Arial" w:cs="Arial"/>
                  <w:i/>
                  <w:iCs/>
                  <w:color w:val="000000" w:themeColor="text1"/>
                  <w:sz w:val="24"/>
                  <w:szCs w:val="24"/>
                  <w:lang w:val="en-US"/>
                </w:rPr>
                <w:t>Multivariate Data Analysis</w:t>
              </w:r>
              <w:r w:rsidRPr="00634580">
                <w:rPr>
                  <w:rFonts w:ascii="Arial" w:hAnsi="Arial" w:cs="Arial"/>
                  <w:color w:val="000000" w:themeColor="text1"/>
                  <w:sz w:val="24"/>
                  <w:szCs w:val="24"/>
                  <w:lang w:val="en-US"/>
                </w:rPr>
                <w:t xml:space="preserve"> (Seventh Edition ed.). New York: Prentice Hall, Pearson.</w:t>
              </w:r>
            </w:p>
            <w:p w14:paraId="33A66E5B" w14:textId="77777777" w:rsidR="0093626A" w:rsidRPr="00634580" w:rsidRDefault="00000000" w:rsidP="00634580">
              <w:pPr>
                <w:pStyle w:val="Bibliografa1"/>
                <w:spacing w:line="360" w:lineRule="auto"/>
                <w:rPr>
                  <w:rFonts w:ascii="Arial" w:hAnsi="Arial" w:cs="Arial"/>
                  <w:color w:val="000000" w:themeColor="text1"/>
                  <w:sz w:val="24"/>
                  <w:szCs w:val="24"/>
                </w:rPr>
              </w:pPr>
              <w:r w:rsidRPr="00634580">
                <w:rPr>
                  <w:rFonts w:ascii="Arial" w:hAnsi="Arial" w:cs="Arial"/>
                  <w:color w:val="000000" w:themeColor="text1"/>
                  <w:sz w:val="24"/>
                  <w:szCs w:val="24"/>
                  <w:lang w:val="en-US"/>
                </w:rPr>
                <w:t xml:space="preserve">International Project Management Association [IPMA]. </w:t>
              </w:r>
              <w:r w:rsidRPr="00634580">
                <w:rPr>
                  <w:rFonts w:ascii="Arial" w:hAnsi="Arial" w:cs="Arial"/>
                  <w:color w:val="000000" w:themeColor="text1"/>
                  <w:sz w:val="24"/>
                  <w:szCs w:val="24"/>
                </w:rPr>
                <w:t>(2006). ICB IPMA Competence Baseline Versión 3.0.</w:t>
              </w:r>
            </w:p>
            <w:p w14:paraId="12E46E68" w14:textId="77777777" w:rsidR="0093626A" w:rsidRPr="00634580" w:rsidRDefault="00000000" w:rsidP="00634580">
              <w:pPr>
                <w:pStyle w:val="Bibliografa1"/>
                <w:spacing w:line="360" w:lineRule="auto"/>
                <w:rPr>
                  <w:rFonts w:ascii="Arial" w:hAnsi="Arial" w:cs="Arial"/>
                  <w:color w:val="000000" w:themeColor="text1"/>
                  <w:sz w:val="24"/>
                  <w:szCs w:val="24"/>
                </w:rPr>
              </w:pPr>
              <w:r w:rsidRPr="00634580">
                <w:rPr>
                  <w:rFonts w:ascii="Arial" w:hAnsi="Arial" w:cs="Arial"/>
                  <w:color w:val="000000" w:themeColor="text1"/>
                  <w:sz w:val="24"/>
                  <w:szCs w:val="24"/>
                </w:rPr>
                <w:t xml:space="preserve">Johstone, H., &amp; Silva, M. (6 de marzo de 2020). </w:t>
              </w:r>
              <w:r w:rsidRPr="00634580">
                <w:rPr>
                  <w:rFonts w:ascii="Arial" w:hAnsi="Arial" w:cs="Arial"/>
                  <w:color w:val="000000" w:themeColor="text1"/>
                  <w:sz w:val="24"/>
                  <w:szCs w:val="24"/>
                  <w:lang w:val="en-US"/>
                </w:rPr>
                <w:t xml:space="preserve">International Energy Agency (IEA). </w:t>
              </w:r>
              <w:r w:rsidRPr="00634580">
                <w:rPr>
                  <w:rFonts w:ascii="Arial" w:hAnsi="Arial" w:cs="Arial"/>
                  <w:i/>
                  <w:iCs/>
                  <w:color w:val="000000" w:themeColor="text1"/>
                  <w:sz w:val="24"/>
                  <w:szCs w:val="24"/>
                  <w:lang w:val="en-US"/>
                </w:rPr>
                <w:t>Gender diversity in energy: what we know and what we don´t know</w:t>
              </w:r>
              <w:r w:rsidRPr="00634580">
                <w:rPr>
                  <w:rFonts w:ascii="Arial" w:hAnsi="Arial" w:cs="Arial"/>
                  <w:color w:val="000000" w:themeColor="text1"/>
                  <w:sz w:val="24"/>
                  <w:szCs w:val="24"/>
                  <w:lang w:val="en-US"/>
                </w:rPr>
                <w:t xml:space="preserve">. </w:t>
              </w:r>
              <w:r w:rsidRPr="00634580">
                <w:rPr>
                  <w:rFonts w:ascii="Arial" w:hAnsi="Arial" w:cs="Arial"/>
                  <w:color w:val="000000" w:themeColor="text1"/>
                  <w:sz w:val="24"/>
                  <w:szCs w:val="24"/>
                </w:rPr>
                <w:t>Obtenido de https://www.iea.org/commentaries/gender-diversity-in-energy-what-we-know-and-what-we-dont-know</w:t>
              </w:r>
            </w:p>
            <w:p w14:paraId="606C3AFC" w14:textId="77777777" w:rsidR="0093626A" w:rsidRPr="00634580" w:rsidRDefault="00000000" w:rsidP="00634580">
              <w:pPr>
                <w:pStyle w:val="Bibliografa1"/>
                <w:spacing w:line="360" w:lineRule="auto"/>
                <w:rPr>
                  <w:rFonts w:ascii="Arial" w:hAnsi="Arial" w:cs="Arial"/>
                  <w:color w:val="000000" w:themeColor="text1"/>
                  <w:sz w:val="24"/>
                  <w:szCs w:val="24"/>
                  <w:lang w:val="en-US"/>
                </w:rPr>
              </w:pPr>
              <w:r w:rsidRPr="00634580">
                <w:rPr>
                  <w:rFonts w:ascii="Arial" w:hAnsi="Arial" w:cs="Arial"/>
                  <w:color w:val="000000" w:themeColor="text1"/>
                  <w:sz w:val="24"/>
                  <w:szCs w:val="24"/>
                  <w:lang w:val="en-US"/>
                </w:rPr>
                <w:t xml:space="preserve">Judgev, K., &amp; Mathur, G. (2006). Project management elements as strategic assets: preliminary findings. </w:t>
              </w:r>
              <w:r w:rsidRPr="00634580">
                <w:rPr>
                  <w:rFonts w:ascii="Arial" w:hAnsi="Arial" w:cs="Arial"/>
                  <w:i/>
                  <w:iCs/>
                  <w:color w:val="000000" w:themeColor="text1"/>
                  <w:sz w:val="24"/>
                  <w:szCs w:val="24"/>
                  <w:lang w:val="en-US"/>
                </w:rPr>
                <w:t>Management Research News, 29</w:t>
              </w:r>
              <w:r w:rsidRPr="00634580">
                <w:rPr>
                  <w:rFonts w:ascii="Arial" w:hAnsi="Arial" w:cs="Arial"/>
                  <w:color w:val="000000" w:themeColor="text1"/>
                  <w:sz w:val="24"/>
                  <w:szCs w:val="24"/>
                  <w:lang w:val="en-US"/>
                </w:rPr>
                <w:t>(10), 604-617. doi:10.1108/01409170610712317</w:t>
              </w:r>
            </w:p>
            <w:p w14:paraId="331FC005" w14:textId="77777777" w:rsidR="0093626A" w:rsidRPr="00634580" w:rsidRDefault="00000000" w:rsidP="00634580">
              <w:pPr>
                <w:pStyle w:val="Bibliografa1"/>
                <w:spacing w:line="360" w:lineRule="auto"/>
                <w:rPr>
                  <w:rFonts w:ascii="Arial" w:hAnsi="Arial" w:cs="Arial"/>
                  <w:color w:val="000000" w:themeColor="text1"/>
                  <w:sz w:val="24"/>
                  <w:szCs w:val="24"/>
                  <w:lang w:val="en-US"/>
                </w:rPr>
              </w:pPr>
              <w:r w:rsidRPr="00634580">
                <w:rPr>
                  <w:rFonts w:ascii="Arial" w:hAnsi="Arial" w:cs="Arial"/>
                  <w:color w:val="000000" w:themeColor="text1"/>
                  <w:sz w:val="24"/>
                  <w:szCs w:val="24"/>
                  <w:lang w:val="en-US"/>
                </w:rPr>
                <w:t xml:space="preserve">Jugdev, K. (2004). Through the Looking Glass: Examining Theory Development in Project Management with the Resource-Based View Lens. </w:t>
              </w:r>
              <w:r w:rsidRPr="00634580">
                <w:rPr>
                  <w:rFonts w:ascii="Arial" w:hAnsi="Arial" w:cs="Arial"/>
                  <w:i/>
                  <w:iCs/>
                  <w:color w:val="000000" w:themeColor="text1"/>
                  <w:sz w:val="24"/>
                  <w:szCs w:val="24"/>
                  <w:lang w:val="en-US"/>
                </w:rPr>
                <w:t>Project Management Journal, 35</w:t>
              </w:r>
              <w:r w:rsidRPr="00634580">
                <w:rPr>
                  <w:rFonts w:ascii="Arial" w:hAnsi="Arial" w:cs="Arial"/>
                  <w:color w:val="000000" w:themeColor="text1"/>
                  <w:sz w:val="24"/>
                  <w:szCs w:val="24"/>
                  <w:lang w:val="en-US"/>
                </w:rPr>
                <w:t>(3), 15-26. doi:https://doi.org/10.1177/875697280403500304</w:t>
              </w:r>
            </w:p>
            <w:p w14:paraId="64165DED" w14:textId="77777777" w:rsidR="0093626A" w:rsidRPr="00634580" w:rsidRDefault="00000000" w:rsidP="00634580">
              <w:pPr>
                <w:pStyle w:val="Bibliografa1"/>
                <w:spacing w:line="360" w:lineRule="auto"/>
                <w:rPr>
                  <w:rFonts w:ascii="Arial" w:hAnsi="Arial" w:cs="Arial"/>
                  <w:color w:val="000000" w:themeColor="text1"/>
                  <w:sz w:val="24"/>
                  <w:szCs w:val="24"/>
                  <w:lang w:val="en-US"/>
                </w:rPr>
              </w:pPr>
              <w:r w:rsidRPr="00634580">
                <w:rPr>
                  <w:rFonts w:ascii="Arial" w:hAnsi="Arial" w:cs="Arial"/>
                  <w:color w:val="000000" w:themeColor="text1"/>
                  <w:sz w:val="24"/>
                  <w:szCs w:val="24"/>
                  <w:lang w:val="en-US"/>
                </w:rPr>
                <w:t xml:space="preserve">Jugdev, K., &amp; Mathur, G. (2013). Bridging situated learning theory to the resource-based view of project. </w:t>
              </w:r>
              <w:r w:rsidRPr="00634580">
                <w:rPr>
                  <w:rFonts w:ascii="Arial" w:hAnsi="Arial" w:cs="Arial"/>
                  <w:i/>
                  <w:iCs/>
                  <w:color w:val="000000" w:themeColor="text1"/>
                  <w:sz w:val="24"/>
                  <w:szCs w:val="24"/>
                  <w:lang w:val="en-US"/>
                </w:rPr>
                <w:t>International Journal of Managing Projects in Business, 6</w:t>
              </w:r>
              <w:r w:rsidRPr="00634580">
                <w:rPr>
                  <w:rFonts w:ascii="Arial" w:hAnsi="Arial" w:cs="Arial"/>
                  <w:color w:val="000000" w:themeColor="text1"/>
                  <w:sz w:val="24"/>
                  <w:szCs w:val="24"/>
                  <w:lang w:val="en-US"/>
                </w:rPr>
                <w:t>(4), 663-653. doi:http://dx.doi.org/10.1108/IJMPB-04-2012-0012</w:t>
              </w:r>
            </w:p>
            <w:p w14:paraId="491E2C55" w14:textId="77777777" w:rsidR="0093626A" w:rsidRPr="00634580" w:rsidRDefault="00000000" w:rsidP="00634580">
              <w:pPr>
                <w:pStyle w:val="Bibliografa1"/>
                <w:spacing w:line="360" w:lineRule="auto"/>
                <w:rPr>
                  <w:rFonts w:ascii="Arial" w:hAnsi="Arial" w:cs="Arial"/>
                  <w:color w:val="000000" w:themeColor="text1"/>
                  <w:sz w:val="24"/>
                  <w:szCs w:val="24"/>
                  <w:lang w:val="en-US"/>
                </w:rPr>
              </w:pPr>
              <w:r w:rsidRPr="00634580">
                <w:rPr>
                  <w:rFonts w:ascii="Arial" w:hAnsi="Arial" w:cs="Arial"/>
                  <w:color w:val="000000" w:themeColor="text1"/>
                  <w:sz w:val="24"/>
                  <w:szCs w:val="24"/>
                  <w:lang w:val="en-US"/>
                </w:rPr>
                <w:lastRenderedPageBreak/>
                <w:t xml:space="preserve">Jugdev, K., Mathur, G., &amp; Fung, T. (2007). Project management assets and their relationship with the project management capability of the firm. </w:t>
              </w:r>
              <w:r w:rsidRPr="00634580">
                <w:rPr>
                  <w:rFonts w:ascii="Arial" w:hAnsi="Arial" w:cs="Arial"/>
                  <w:i/>
                  <w:iCs/>
                  <w:color w:val="000000" w:themeColor="text1"/>
                  <w:sz w:val="24"/>
                  <w:szCs w:val="24"/>
                  <w:lang w:val="en-US"/>
                </w:rPr>
                <w:t>International Journal of Project, 25</w:t>
              </w:r>
              <w:r w:rsidRPr="00634580">
                <w:rPr>
                  <w:rFonts w:ascii="Arial" w:hAnsi="Arial" w:cs="Arial"/>
                  <w:color w:val="000000" w:themeColor="text1"/>
                  <w:sz w:val="24"/>
                  <w:szCs w:val="24"/>
                  <w:lang w:val="en-US"/>
                </w:rPr>
                <w:t>(6), 560-568.</w:t>
              </w:r>
            </w:p>
            <w:p w14:paraId="25978D8D" w14:textId="77777777" w:rsidR="0093626A" w:rsidRPr="00634580" w:rsidRDefault="00000000" w:rsidP="00634580">
              <w:pPr>
                <w:pStyle w:val="Bibliografa1"/>
                <w:spacing w:line="360" w:lineRule="auto"/>
                <w:rPr>
                  <w:rFonts w:ascii="Arial" w:hAnsi="Arial" w:cs="Arial"/>
                  <w:color w:val="000000" w:themeColor="text1"/>
                  <w:sz w:val="24"/>
                  <w:szCs w:val="24"/>
                  <w:lang w:val="en-US"/>
                </w:rPr>
              </w:pPr>
              <w:r w:rsidRPr="00634580">
                <w:rPr>
                  <w:rFonts w:ascii="Arial" w:hAnsi="Arial" w:cs="Arial"/>
                  <w:color w:val="000000" w:themeColor="text1"/>
                  <w:sz w:val="24"/>
                  <w:szCs w:val="24"/>
                  <w:lang w:val="en-US"/>
                </w:rPr>
                <w:t xml:space="preserve">Jugdev, K., Mathur, G., &amp; Fung, T. (2019). Mediated effect of project management asset characteristics on firm performance. </w:t>
              </w:r>
              <w:r w:rsidRPr="00634580">
                <w:rPr>
                  <w:rFonts w:ascii="Arial" w:hAnsi="Arial" w:cs="Arial"/>
                  <w:i/>
                  <w:iCs/>
                  <w:color w:val="000000" w:themeColor="text1"/>
                  <w:sz w:val="24"/>
                  <w:szCs w:val="24"/>
                  <w:lang w:val="en-US"/>
                </w:rPr>
                <w:t>International Journal of Projects in Business</w:t>
              </w:r>
              <w:r w:rsidRPr="00634580">
                <w:rPr>
                  <w:rFonts w:ascii="Arial" w:hAnsi="Arial" w:cs="Arial"/>
                  <w:color w:val="000000" w:themeColor="text1"/>
                  <w:sz w:val="24"/>
                  <w:szCs w:val="24"/>
                  <w:lang w:val="en-US"/>
                </w:rPr>
                <w:t>. doi:10.1108/IJMPB-12-2018-0284</w:t>
              </w:r>
            </w:p>
            <w:p w14:paraId="421E1770" w14:textId="77777777" w:rsidR="0093626A" w:rsidRPr="00634580" w:rsidRDefault="00000000" w:rsidP="00634580">
              <w:pPr>
                <w:pStyle w:val="Bibliografa1"/>
                <w:spacing w:line="360" w:lineRule="auto"/>
                <w:rPr>
                  <w:rFonts w:ascii="Arial" w:hAnsi="Arial" w:cs="Arial"/>
                  <w:color w:val="000000" w:themeColor="text1"/>
                  <w:sz w:val="24"/>
                  <w:szCs w:val="24"/>
                  <w:lang w:val="en-US"/>
                </w:rPr>
              </w:pPr>
              <w:r w:rsidRPr="00634580">
                <w:rPr>
                  <w:rFonts w:ascii="Arial" w:hAnsi="Arial" w:cs="Arial"/>
                  <w:color w:val="000000" w:themeColor="text1"/>
                  <w:sz w:val="24"/>
                  <w:szCs w:val="24"/>
                  <w:lang w:val="en-US"/>
                </w:rPr>
                <w:t xml:space="preserve">Kerlinger, F. (1973). </w:t>
              </w:r>
              <w:r w:rsidRPr="00634580">
                <w:rPr>
                  <w:rFonts w:ascii="Arial" w:hAnsi="Arial" w:cs="Arial"/>
                  <w:i/>
                  <w:iCs/>
                  <w:color w:val="000000" w:themeColor="text1"/>
                  <w:sz w:val="24"/>
                  <w:szCs w:val="24"/>
                  <w:lang w:val="en-US"/>
                </w:rPr>
                <w:t>Foundations of Behabioral Research.</w:t>
              </w:r>
              <w:r w:rsidRPr="00634580">
                <w:rPr>
                  <w:rFonts w:ascii="Arial" w:hAnsi="Arial" w:cs="Arial"/>
                  <w:color w:val="000000" w:themeColor="text1"/>
                  <w:sz w:val="24"/>
                  <w:szCs w:val="24"/>
                  <w:lang w:val="en-US"/>
                </w:rPr>
                <w:t xml:space="preserve"> New York: Holt, Rinehart and Winston.</w:t>
              </w:r>
            </w:p>
            <w:p w14:paraId="17760CE4" w14:textId="77777777" w:rsidR="0093626A" w:rsidRPr="00634580" w:rsidRDefault="00000000" w:rsidP="00634580">
              <w:pPr>
                <w:pStyle w:val="Bibliografa1"/>
                <w:spacing w:line="360" w:lineRule="auto"/>
                <w:rPr>
                  <w:rFonts w:ascii="Arial" w:hAnsi="Arial" w:cs="Arial"/>
                  <w:color w:val="000000" w:themeColor="text1"/>
                  <w:sz w:val="24"/>
                  <w:szCs w:val="24"/>
                </w:rPr>
              </w:pPr>
              <w:r w:rsidRPr="00634580">
                <w:rPr>
                  <w:rFonts w:ascii="Arial" w:hAnsi="Arial" w:cs="Arial"/>
                  <w:color w:val="000000" w:themeColor="text1"/>
                  <w:sz w:val="24"/>
                  <w:szCs w:val="24"/>
                  <w:lang w:val="en-US"/>
                </w:rPr>
                <w:t xml:space="preserve">Koskela, L., Henrich, G., Owe, R., &amp; Vrijhoef, R. (2006). Theory Based Production and Project Management. </w:t>
              </w:r>
              <w:r w:rsidRPr="00634580">
                <w:rPr>
                  <w:rFonts w:ascii="Arial" w:hAnsi="Arial" w:cs="Arial"/>
                  <w:i/>
                  <w:iCs/>
                  <w:color w:val="000000" w:themeColor="text1"/>
                  <w:sz w:val="24"/>
                  <w:szCs w:val="24"/>
                </w:rPr>
                <w:t>Academia</w:t>
              </w:r>
              <w:r w:rsidRPr="00634580">
                <w:rPr>
                  <w:rFonts w:ascii="Arial" w:hAnsi="Arial" w:cs="Arial"/>
                  <w:color w:val="000000" w:themeColor="text1"/>
                  <w:sz w:val="24"/>
                  <w:szCs w:val="24"/>
                </w:rPr>
                <w:t>. Obtenido de https://www.academia.edu/23049916/Theory_based_production_and_project_management?from=cover_page</w:t>
              </w:r>
            </w:p>
            <w:p w14:paraId="26D93B34" w14:textId="77777777" w:rsidR="0093626A" w:rsidRPr="00634580" w:rsidRDefault="00000000" w:rsidP="00634580">
              <w:pPr>
                <w:pStyle w:val="Bibliografa1"/>
                <w:spacing w:line="360" w:lineRule="auto"/>
                <w:rPr>
                  <w:rFonts w:ascii="Arial" w:hAnsi="Arial" w:cs="Arial"/>
                  <w:color w:val="000000" w:themeColor="text1"/>
                  <w:sz w:val="24"/>
                  <w:szCs w:val="24"/>
                  <w:lang w:val="en-US"/>
                </w:rPr>
              </w:pPr>
              <w:r w:rsidRPr="00634580">
                <w:rPr>
                  <w:rFonts w:ascii="Arial" w:hAnsi="Arial" w:cs="Arial"/>
                  <w:color w:val="000000" w:themeColor="text1"/>
                  <w:sz w:val="24"/>
                  <w:szCs w:val="24"/>
                  <w:lang w:val="en-US"/>
                </w:rPr>
                <w:t xml:space="preserve">Kozak-Holland, M. (2011). </w:t>
              </w:r>
              <w:r w:rsidRPr="00634580">
                <w:rPr>
                  <w:rFonts w:ascii="Arial" w:hAnsi="Arial" w:cs="Arial"/>
                  <w:i/>
                  <w:iCs/>
                  <w:color w:val="000000" w:themeColor="text1"/>
                  <w:sz w:val="24"/>
                  <w:szCs w:val="24"/>
                  <w:lang w:val="en-US"/>
                </w:rPr>
                <w:t>The History of Project Management</w:t>
              </w:r>
              <w:r w:rsidRPr="00634580">
                <w:rPr>
                  <w:rFonts w:ascii="Arial" w:hAnsi="Arial" w:cs="Arial"/>
                  <w:color w:val="000000" w:themeColor="text1"/>
                  <w:sz w:val="24"/>
                  <w:szCs w:val="24"/>
                  <w:lang w:val="en-US"/>
                </w:rPr>
                <w:t xml:space="preserve"> (First Edition ed.). Multi-Media Publications Inc.</w:t>
              </w:r>
            </w:p>
            <w:p w14:paraId="76C11274" w14:textId="77777777" w:rsidR="0093626A" w:rsidRPr="00634580" w:rsidRDefault="00000000" w:rsidP="00634580">
              <w:pPr>
                <w:pStyle w:val="Bibliografa1"/>
                <w:spacing w:line="360" w:lineRule="auto"/>
                <w:rPr>
                  <w:rFonts w:ascii="Arial" w:hAnsi="Arial" w:cs="Arial"/>
                  <w:color w:val="000000" w:themeColor="text1"/>
                  <w:sz w:val="24"/>
                  <w:szCs w:val="24"/>
                </w:rPr>
              </w:pPr>
              <w:r w:rsidRPr="00634580">
                <w:rPr>
                  <w:rFonts w:ascii="Arial" w:hAnsi="Arial" w:cs="Arial"/>
                  <w:color w:val="000000" w:themeColor="text1"/>
                  <w:sz w:val="24"/>
                  <w:szCs w:val="24"/>
                  <w:lang w:val="en-US"/>
                </w:rPr>
                <w:t xml:space="preserve">Kwak, Y. (2003). Chapter 2. Brief Hystory of Project Management. En Carayanis, Kwak, &amp; Anbari, </w:t>
              </w:r>
              <w:r w:rsidRPr="00634580">
                <w:rPr>
                  <w:rFonts w:ascii="Arial" w:hAnsi="Arial" w:cs="Arial"/>
                  <w:i/>
                  <w:iCs/>
                  <w:color w:val="000000" w:themeColor="text1"/>
                  <w:sz w:val="24"/>
                  <w:szCs w:val="24"/>
                  <w:lang w:val="en-US"/>
                </w:rPr>
                <w:t>The Story of Managing Projects.</w:t>
              </w:r>
              <w:r w:rsidRPr="00634580">
                <w:rPr>
                  <w:rFonts w:ascii="Arial" w:hAnsi="Arial" w:cs="Arial"/>
                  <w:color w:val="000000" w:themeColor="text1"/>
                  <w:sz w:val="24"/>
                  <w:szCs w:val="24"/>
                  <w:lang w:val="en-US"/>
                </w:rPr>
                <w:t xml:space="preserve"> Quorum Books. </w:t>
              </w:r>
              <w:r w:rsidRPr="00634580">
                <w:rPr>
                  <w:rFonts w:ascii="Arial" w:hAnsi="Arial" w:cs="Arial"/>
                  <w:color w:val="000000" w:themeColor="text1"/>
                  <w:sz w:val="24"/>
                  <w:szCs w:val="24"/>
                </w:rPr>
                <w:t>Obtenido de https://home.gwu.edu/~kwak/PM_History.pdf</w:t>
              </w:r>
            </w:p>
            <w:p w14:paraId="67EDE0CD" w14:textId="77777777" w:rsidR="0093626A" w:rsidRPr="00634580" w:rsidRDefault="00000000" w:rsidP="00634580">
              <w:pPr>
                <w:pStyle w:val="Bibliografa1"/>
                <w:spacing w:line="360" w:lineRule="auto"/>
                <w:rPr>
                  <w:rFonts w:ascii="Arial" w:hAnsi="Arial" w:cs="Arial"/>
                  <w:color w:val="000000" w:themeColor="text1"/>
                  <w:sz w:val="24"/>
                  <w:szCs w:val="24"/>
                  <w:lang w:val="en-US"/>
                </w:rPr>
              </w:pPr>
              <w:r w:rsidRPr="00634580">
                <w:rPr>
                  <w:rFonts w:ascii="Arial" w:hAnsi="Arial" w:cs="Arial"/>
                  <w:color w:val="000000" w:themeColor="text1"/>
                  <w:sz w:val="24"/>
                  <w:szCs w:val="24"/>
                </w:rPr>
                <w:t xml:space="preserve">Lalonde, P.-.. </w:t>
              </w:r>
              <w:r w:rsidRPr="00634580">
                <w:rPr>
                  <w:rFonts w:ascii="Arial" w:hAnsi="Arial" w:cs="Arial"/>
                  <w:color w:val="000000" w:themeColor="text1"/>
                  <w:sz w:val="24"/>
                  <w:szCs w:val="24"/>
                  <w:lang w:val="en-US"/>
                </w:rPr>
                <w:t xml:space="preserve">L., Bourgault, M., &amp; Findeli, A. (2010). Building Pragmatist Theories of PM Practice: Theorizing the Act of Project Management. </w:t>
              </w:r>
              <w:r w:rsidRPr="00634580">
                <w:rPr>
                  <w:rFonts w:ascii="Arial" w:hAnsi="Arial" w:cs="Arial"/>
                  <w:i/>
                  <w:iCs/>
                  <w:color w:val="000000" w:themeColor="text1"/>
                  <w:sz w:val="24"/>
                  <w:szCs w:val="24"/>
                  <w:lang w:val="en-US"/>
                </w:rPr>
                <w:t>Project Management Journal, 41</w:t>
              </w:r>
              <w:r w:rsidRPr="00634580">
                <w:rPr>
                  <w:rFonts w:ascii="Arial" w:hAnsi="Arial" w:cs="Arial"/>
                  <w:color w:val="000000" w:themeColor="text1"/>
                  <w:sz w:val="24"/>
                  <w:szCs w:val="24"/>
                  <w:lang w:val="en-US"/>
                </w:rPr>
                <w:t>(5), 31-36. doi:https://doi.org/10.1002/pmj.20163</w:t>
              </w:r>
            </w:p>
            <w:p w14:paraId="2BD611A2" w14:textId="77777777" w:rsidR="0093626A" w:rsidRPr="00634580" w:rsidRDefault="00000000" w:rsidP="00634580">
              <w:pPr>
                <w:pStyle w:val="Bibliografa1"/>
                <w:spacing w:line="360" w:lineRule="auto"/>
                <w:rPr>
                  <w:rFonts w:ascii="Arial" w:hAnsi="Arial" w:cs="Arial"/>
                  <w:color w:val="000000" w:themeColor="text1"/>
                  <w:sz w:val="24"/>
                  <w:szCs w:val="24"/>
                  <w:lang w:val="en-US"/>
                </w:rPr>
              </w:pPr>
              <w:r w:rsidRPr="00634580">
                <w:rPr>
                  <w:rFonts w:ascii="Arial" w:hAnsi="Arial" w:cs="Arial"/>
                  <w:color w:val="000000" w:themeColor="text1"/>
                  <w:sz w:val="24"/>
                  <w:szCs w:val="24"/>
                  <w:lang w:val="en-US"/>
                </w:rPr>
                <w:t xml:space="preserve">Löwstedt, M., Räisänen, C., &amp; Leiringer, R. (2018). Doing strategy in project-based organizations: Actors and patterns of action. </w:t>
              </w:r>
              <w:r w:rsidRPr="00634580">
                <w:rPr>
                  <w:rFonts w:ascii="Arial" w:hAnsi="Arial" w:cs="Arial"/>
                  <w:i/>
                  <w:iCs/>
                  <w:color w:val="000000" w:themeColor="text1"/>
                  <w:sz w:val="24"/>
                  <w:szCs w:val="24"/>
                  <w:lang w:val="en-US"/>
                </w:rPr>
                <w:t>International Journal of Project Management</w:t>
              </w:r>
              <w:r w:rsidRPr="00634580">
                <w:rPr>
                  <w:rFonts w:ascii="Arial" w:hAnsi="Arial" w:cs="Arial"/>
                  <w:color w:val="000000" w:themeColor="text1"/>
                  <w:sz w:val="24"/>
                  <w:szCs w:val="24"/>
                  <w:lang w:val="en-US"/>
                </w:rPr>
                <w:t>, 889-898. doi:http://dx.doi.org/10.1016/j.ijproman.2018.05.002</w:t>
              </w:r>
            </w:p>
            <w:p w14:paraId="4E6F42AD" w14:textId="77777777" w:rsidR="0093626A" w:rsidRPr="00634580" w:rsidRDefault="00000000" w:rsidP="00634580">
              <w:pPr>
                <w:pStyle w:val="Bibliografa1"/>
                <w:spacing w:line="360" w:lineRule="auto"/>
                <w:rPr>
                  <w:rFonts w:ascii="Arial" w:hAnsi="Arial" w:cs="Arial"/>
                  <w:color w:val="000000" w:themeColor="text1"/>
                  <w:sz w:val="24"/>
                  <w:szCs w:val="24"/>
                  <w:lang w:val="en-US"/>
                </w:rPr>
              </w:pPr>
              <w:r w:rsidRPr="00634580">
                <w:rPr>
                  <w:rFonts w:ascii="Arial" w:hAnsi="Arial" w:cs="Arial"/>
                  <w:color w:val="000000" w:themeColor="text1"/>
                  <w:sz w:val="24"/>
                  <w:szCs w:val="24"/>
                  <w:lang w:val="en-US"/>
                </w:rPr>
                <w:t xml:space="preserve">Mathur, G., Jugdev, K., &amp; Fung, T. (2007). Intangible project management assets as determinants of competitive advantage. </w:t>
              </w:r>
              <w:r w:rsidRPr="00634580">
                <w:rPr>
                  <w:rFonts w:ascii="Arial" w:hAnsi="Arial" w:cs="Arial"/>
                  <w:i/>
                  <w:iCs/>
                  <w:color w:val="000000" w:themeColor="text1"/>
                  <w:sz w:val="24"/>
                  <w:szCs w:val="24"/>
                  <w:lang w:val="en-US"/>
                </w:rPr>
                <w:t>Management Research News, 30</w:t>
              </w:r>
              <w:r w:rsidRPr="00634580">
                <w:rPr>
                  <w:rFonts w:ascii="Arial" w:hAnsi="Arial" w:cs="Arial"/>
                  <w:color w:val="000000" w:themeColor="text1"/>
                  <w:sz w:val="24"/>
                  <w:szCs w:val="24"/>
                  <w:lang w:val="en-US"/>
                </w:rPr>
                <w:t>(7), 460-475.</w:t>
              </w:r>
            </w:p>
            <w:p w14:paraId="1D5DC3FC" w14:textId="77777777" w:rsidR="0093626A" w:rsidRPr="00634580" w:rsidRDefault="00000000" w:rsidP="00634580">
              <w:pPr>
                <w:pStyle w:val="Bibliografa1"/>
                <w:spacing w:line="360" w:lineRule="auto"/>
                <w:rPr>
                  <w:rFonts w:ascii="Arial" w:hAnsi="Arial" w:cs="Arial"/>
                  <w:color w:val="000000" w:themeColor="text1"/>
                  <w:sz w:val="24"/>
                  <w:szCs w:val="24"/>
                  <w:lang w:val="en-US"/>
                </w:rPr>
              </w:pPr>
              <w:r w:rsidRPr="00634580">
                <w:rPr>
                  <w:rFonts w:ascii="Arial" w:hAnsi="Arial" w:cs="Arial"/>
                  <w:color w:val="000000" w:themeColor="text1"/>
                  <w:sz w:val="24"/>
                  <w:szCs w:val="24"/>
                  <w:lang w:val="en-US"/>
                </w:rPr>
                <w:t xml:space="preserve">Mathur, G., Jugdev, K., &amp; Fung, T. S. (2013). Project management assets and project management performance outcomes. Exploratory factor analysis. </w:t>
              </w:r>
              <w:r w:rsidRPr="00634580">
                <w:rPr>
                  <w:rFonts w:ascii="Arial" w:hAnsi="Arial" w:cs="Arial"/>
                  <w:i/>
                  <w:iCs/>
                  <w:color w:val="000000" w:themeColor="text1"/>
                  <w:sz w:val="24"/>
                  <w:szCs w:val="24"/>
                  <w:lang w:val="en-US"/>
                </w:rPr>
                <w:t>Mangement Research Review</w:t>
              </w:r>
              <w:r w:rsidRPr="00634580">
                <w:rPr>
                  <w:rFonts w:ascii="Arial" w:hAnsi="Arial" w:cs="Arial"/>
                  <w:color w:val="000000" w:themeColor="text1"/>
                  <w:sz w:val="24"/>
                  <w:szCs w:val="24"/>
                  <w:lang w:val="en-US"/>
                </w:rPr>
                <w:t>, 112-135. doi:10.1108/01409171311292234</w:t>
              </w:r>
            </w:p>
            <w:p w14:paraId="31346BEC" w14:textId="77777777" w:rsidR="0093626A" w:rsidRPr="00634580" w:rsidRDefault="00000000" w:rsidP="00634580">
              <w:pPr>
                <w:pStyle w:val="Bibliografa1"/>
                <w:spacing w:line="360" w:lineRule="auto"/>
                <w:rPr>
                  <w:rFonts w:ascii="Arial" w:hAnsi="Arial" w:cs="Arial"/>
                  <w:color w:val="000000" w:themeColor="text1"/>
                  <w:sz w:val="24"/>
                  <w:szCs w:val="24"/>
                  <w:lang w:val="en-US"/>
                </w:rPr>
              </w:pPr>
              <w:r w:rsidRPr="00634580">
                <w:rPr>
                  <w:rFonts w:ascii="Arial" w:hAnsi="Arial" w:cs="Arial"/>
                  <w:color w:val="000000" w:themeColor="text1"/>
                  <w:sz w:val="24"/>
                  <w:szCs w:val="24"/>
                  <w:lang w:val="en-US"/>
                </w:rPr>
                <w:lastRenderedPageBreak/>
                <w:t xml:space="preserve">Maylor, H., Brady, T., Cooke-Davis, T., &amp; Hodgson, D. (2006). From projectification to programmification. </w:t>
              </w:r>
              <w:r w:rsidRPr="00634580">
                <w:rPr>
                  <w:rFonts w:ascii="Arial" w:hAnsi="Arial" w:cs="Arial"/>
                  <w:i/>
                  <w:iCs/>
                  <w:color w:val="000000" w:themeColor="text1"/>
                  <w:sz w:val="24"/>
                  <w:szCs w:val="24"/>
                  <w:lang w:val="en-US"/>
                </w:rPr>
                <w:t>International Journal of Project Management, 24</w:t>
              </w:r>
              <w:r w:rsidRPr="00634580">
                <w:rPr>
                  <w:rFonts w:ascii="Arial" w:hAnsi="Arial" w:cs="Arial"/>
                  <w:color w:val="000000" w:themeColor="text1"/>
                  <w:sz w:val="24"/>
                  <w:szCs w:val="24"/>
                  <w:lang w:val="en-US"/>
                </w:rPr>
                <w:t>, 663-674. doi:doi:10.1016/j.ijproman.2006.09.014</w:t>
              </w:r>
            </w:p>
            <w:p w14:paraId="431CFA40" w14:textId="77777777" w:rsidR="0093626A" w:rsidRPr="00634580" w:rsidRDefault="00000000" w:rsidP="00634580">
              <w:pPr>
                <w:pStyle w:val="Bibliografa1"/>
                <w:spacing w:line="360" w:lineRule="auto"/>
                <w:rPr>
                  <w:rFonts w:ascii="Arial" w:hAnsi="Arial" w:cs="Arial"/>
                  <w:color w:val="000000" w:themeColor="text1"/>
                  <w:sz w:val="24"/>
                  <w:szCs w:val="24"/>
                  <w:lang w:val="en-US"/>
                </w:rPr>
              </w:pPr>
              <w:r w:rsidRPr="00634580">
                <w:rPr>
                  <w:rFonts w:ascii="Arial" w:hAnsi="Arial" w:cs="Arial"/>
                  <w:color w:val="000000" w:themeColor="text1"/>
                  <w:sz w:val="24"/>
                  <w:szCs w:val="24"/>
                  <w:lang w:val="en-US"/>
                </w:rPr>
                <w:t xml:space="preserve">Morris, P. W. (2002). Science, objective knowledge and the theory of project management. </w:t>
              </w:r>
              <w:r w:rsidRPr="00634580">
                <w:rPr>
                  <w:rFonts w:ascii="Arial" w:hAnsi="Arial" w:cs="Arial"/>
                  <w:i/>
                  <w:iCs/>
                  <w:color w:val="000000" w:themeColor="text1"/>
                  <w:sz w:val="24"/>
                  <w:szCs w:val="24"/>
                  <w:lang w:val="en-US"/>
                </w:rPr>
                <w:t>Proceedings of ICE. Civil Engineering 150</w:t>
              </w:r>
              <w:r w:rsidRPr="00634580">
                <w:rPr>
                  <w:rFonts w:ascii="Arial" w:hAnsi="Arial" w:cs="Arial"/>
                  <w:color w:val="000000" w:themeColor="text1"/>
                  <w:sz w:val="24"/>
                  <w:szCs w:val="24"/>
                  <w:lang w:val="en-US"/>
                </w:rPr>
                <w:t>, 82-90. Obtenido de https://www.icevirtuallibrary.com/doi/10.1680/cien.2002.150.2.82</w:t>
              </w:r>
            </w:p>
            <w:p w14:paraId="49B947F6" w14:textId="77777777" w:rsidR="0093626A" w:rsidRPr="00634580" w:rsidRDefault="00000000" w:rsidP="00634580">
              <w:pPr>
                <w:pStyle w:val="Bibliografa1"/>
                <w:spacing w:line="360" w:lineRule="auto"/>
                <w:rPr>
                  <w:rFonts w:ascii="Arial" w:hAnsi="Arial" w:cs="Arial"/>
                  <w:color w:val="000000" w:themeColor="text1"/>
                  <w:sz w:val="24"/>
                  <w:szCs w:val="24"/>
                  <w:lang w:val="en-US"/>
                </w:rPr>
              </w:pPr>
              <w:r w:rsidRPr="00634580">
                <w:rPr>
                  <w:rFonts w:ascii="Arial" w:hAnsi="Arial" w:cs="Arial"/>
                  <w:color w:val="000000" w:themeColor="text1"/>
                  <w:sz w:val="24"/>
                  <w:szCs w:val="24"/>
                  <w:lang w:val="en-US"/>
                </w:rPr>
                <w:t xml:space="preserve">Neuman, W. (2014). </w:t>
              </w:r>
              <w:r w:rsidRPr="00634580">
                <w:rPr>
                  <w:rFonts w:ascii="Arial" w:hAnsi="Arial" w:cs="Arial"/>
                  <w:i/>
                  <w:iCs/>
                  <w:color w:val="000000" w:themeColor="text1"/>
                  <w:sz w:val="24"/>
                  <w:szCs w:val="24"/>
                  <w:lang w:val="en-US"/>
                </w:rPr>
                <w:t>Social Research Methods: Quantitative and Qualitative Methods.</w:t>
              </w:r>
              <w:r w:rsidRPr="00634580">
                <w:rPr>
                  <w:rFonts w:ascii="Arial" w:hAnsi="Arial" w:cs="Arial"/>
                  <w:color w:val="000000" w:themeColor="text1"/>
                  <w:sz w:val="24"/>
                  <w:szCs w:val="24"/>
                  <w:lang w:val="en-US"/>
                </w:rPr>
                <w:t xml:space="preserve"> Boston: Pearson Education Inc.</w:t>
              </w:r>
            </w:p>
            <w:p w14:paraId="640A729F" w14:textId="77777777" w:rsidR="0093626A" w:rsidRPr="00634580" w:rsidRDefault="00000000" w:rsidP="00634580">
              <w:pPr>
                <w:pStyle w:val="Bibliografa1"/>
                <w:spacing w:line="360" w:lineRule="auto"/>
                <w:rPr>
                  <w:rFonts w:ascii="Arial" w:hAnsi="Arial" w:cs="Arial"/>
                  <w:color w:val="000000" w:themeColor="text1"/>
                  <w:sz w:val="24"/>
                  <w:szCs w:val="24"/>
                  <w:lang w:val="en-US"/>
                </w:rPr>
              </w:pPr>
              <w:r w:rsidRPr="00634580">
                <w:rPr>
                  <w:rFonts w:ascii="Arial" w:hAnsi="Arial" w:cs="Arial"/>
                  <w:color w:val="000000" w:themeColor="text1"/>
                  <w:sz w:val="24"/>
                  <w:szCs w:val="24"/>
                  <w:lang w:val="en-US"/>
                </w:rPr>
                <w:t xml:space="preserve">Nieto-Rodríguez, A. (2021 b). </w:t>
              </w:r>
              <w:r w:rsidRPr="00634580">
                <w:rPr>
                  <w:rFonts w:ascii="Arial" w:hAnsi="Arial" w:cs="Arial"/>
                  <w:i/>
                  <w:iCs/>
                  <w:color w:val="000000" w:themeColor="text1"/>
                  <w:sz w:val="24"/>
                  <w:szCs w:val="24"/>
                  <w:lang w:val="en-US"/>
                </w:rPr>
                <w:t>Harvard Business Review Project Management Hadbook</w:t>
              </w:r>
              <w:r w:rsidRPr="00634580">
                <w:rPr>
                  <w:rFonts w:ascii="Arial" w:hAnsi="Arial" w:cs="Arial"/>
                  <w:color w:val="000000" w:themeColor="text1"/>
                  <w:sz w:val="24"/>
                  <w:szCs w:val="24"/>
                  <w:lang w:val="en-US"/>
                </w:rPr>
                <w:t xml:space="preserve"> (First Edition. E-Book. ed.). Harvard Business Review Press.</w:t>
              </w:r>
            </w:p>
            <w:p w14:paraId="7FDC17D2" w14:textId="77777777" w:rsidR="0093626A" w:rsidRPr="00634580" w:rsidRDefault="00000000" w:rsidP="00634580">
              <w:pPr>
                <w:pStyle w:val="Bibliografa1"/>
                <w:spacing w:line="360" w:lineRule="auto"/>
                <w:rPr>
                  <w:rFonts w:ascii="Arial" w:hAnsi="Arial" w:cs="Arial"/>
                  <w:color w:val="000000" w:themeColor="text1"/>
                  <w:sz w:val="24"/>
                  <w:szCs w:val="24"/>
                  <w:lang w:val="en-US"/>
                </w:rPr>
              </w:pPr>
              <w:r w:rsidRPr="00634580">
                <w:rPr>
                  <w:rFonts w:ascii="Arial" w:hAnsi="Arial" w:cs="Arial"/>
                  <w:color w:val="000000" w:themeColor="text1"/>
                  <w:sz w:val="24"/>
                  <w:szCs w:val="24"/>
                  <w:lang w:val="en-US"/>
                </w:rPr>
                <w:t xml:space="preserve">Nieto-Rodriguez, A. (2021). The Project Economy has Arrived. </w:t>
              </w:r>
              <w:r w:rsidRPr="00634580">
                <w:rPr>
                  <w:rFonts w:ascii="Arial" w:hAnsi="Arial" w:cs="Arial"/>
                  <w:i/>
                  <w:iCs/>
                  <w:color w:val="000000" w:themeColor="text1"/>
                  <w:sz w:val="24"/>
                  <w:szCs w:val="24"/>
                  <w:lang w:val="en-US"/>
                </w:rPr>
                <w:t>Harvard Business Review Magazine</w:t>
              </w:r>
              <w:r w:rsidRPr="00634580">
                <w:rPr>
                  <w:rFonts w:ascii="Arial" w:hAnsi="Arial" w:cs="Arial"/>
                  <w:color w:val="000000" w:themeColor="text1"/>
                  <w:sz w:val="24"/>
                  <w:szCs w:val="24"/>
                  <w:lang w:val="en-US"/>
                </w:rPr>
                <w:t>. Obtenido de https://hbr.org/2021/11/the-project-economy-has-arrived</w:t>
              </w:r>
            </w:p>
            <w:p w14:paraId="398AE03B" w14:textId="77777777" w:rsidR="0093626A" w:rsidRPr="00634580" w:rsidRDefault="00000000" w:rsidP="00634580">
              <w:pPr>
                <w:pStyle w:val="Bibliografa1"/>
                <w:spacing w:line="360" w:lineRule="auto"/>
                <w:rPr>
                  <w:rFonts w:ascii="Arial" w:hAnsi="Arial" w:cs="Arial"/>
                  <w:color w:val="000000" w:themeColor="text1"/>
                  <w:sz w:val="24"/>
                  <w:szCs w:val="24"/>
                  <w:lang w:val="en-US"/>
                </w:rPr>
              </w:pPr>
              <w:r w:rsidRPr="00634580">
                <w:rPr>
                  <w:rFonts w:ascii="Arial" w:hAnsi="Arial" w:cs="Arial"/>
                  <w:color w:val="000000" w:themeColor="text1"/>
                  <w:sz w:val="24"/>
                  <w:szCs w:val="24"/>
                  <w:lang w:val="en-US"/>
                </w:rPr>
                <w:t xml:space="preserve">Niknazar, P., &amp; Bourgault, M. (2017). Theories for classification vs. classification as theory: Implications of classification and typology for the development of project management theories. </w:t>
              </w:r>
              <w:r w:rsidRPr="00634580">
                <w:rPr>
                  <w:rFonts w:ascii="Arial" w:hAnsi="Arial" w:cs="Arial"/>
                  <w:i/>
                  <w:iCs/>
                  <w:color w:val="000000" w:themeColor="text1"/>
                  <w:sz w:val="24"/>
                  <w:szCs w:val="24"/>
                  <w:lang w:val="en-US"/>
                </w:rPr>
                <w:t>International Journal of Project Management, 35</w:t>
              </w:r>
              <w:r w:rsidRPr="00634580">
                <w:rPr>
                  <w:rFonts w:ascii="Arial" w:hAnsi="Arial" w:cs="Arial"/>
                  <w:color w:val="000000" w:themeColor="text1"/>
                  <w:sz w:val="24"/>
                  <w:szCs w:val="24"/>
                  <w:lang w:val="en-US"/>
                </w:rPr>
                <w:t>(2), 191-203. doi:https://doi.org/10.1016/j.ijproman.2016.11.002</w:t>
              </w:r>
            </w:p>
            <w:p w14:paraId="1FC90489" w14:textId="77777777" w:rsidR="0093626A" w:rsidRPr="00634580" w:rsidRDefault="00000000" w:rsidP="00634580">
              <w:pPr>
                <w:pStyle w:val="Bibliografa1"/>
                <w:spacing w:line="360" w:lineRule="auto"/>
                <w:rPr>
                  <w:rFonts w:ascii="Arial" w:hAnsi="Arial" w:cs="Arial"/>
                  <w:color w:val="000000" w:themeColor="text1"/>
                  <w:sz w:val="24"/>
                  <w:szCs w:val="24"/>
                </w:rPr>
              </w:pPr>
              <w:r w:rsidRPr="00634580">
                <w:rPr>
                  <w:rFonts w:ascii="Arial" w:hAnsi="Arial" w:cs="Arial"/>
                  <w:color w:val="000000" w:themeColor="text1"/>
                  <w:sz w:val="24"/>
                  <w:szCs w:val="24"/>
                  <w:lang w:val="en-US"/>
                </w:rPr>
                <w:t xml:space="preserve">Onions, P. (2007). A knowledge based theory of project management. </w:t>
              </w:r>
              <w:r w:rsidRPr="00634580">
                <w:rPr>
                  <w:rFonts w:ascii="Arial" w:hAnsi="Arial" w:cs="Arial"/>
                  <w:i/>
                  <w:iCs/>
                  <w:color w:val="000000" w:themeColor="text1"/>
                  <w:sz w:val="24"/>
                  <w:szCs w:val="24"/>
                </w:rPr>
                <w:t>Patriconions.org</w:t>
              </w:r>
              <w:r w:rsidRPr="00634580">
                <w:rPr>
                  <w:rFonts w:ascii="Arial" w:hAnsi="Arial" w:cs="Arial"/>
                  <w:color w:val="000000" w:themeColor="text1"/>
                  <w:sz w:val="24"/>
                  <w:szCs w:val="24"/>
                </w:rPr>
                <w:t>. Obtenido de https://patrickonions.org/website/writing.html</w:t>
              </w:r>
            </w:p>
            <w:p w14:paraId="7DBFD215" w14:textId="77777777" w:rsidR="0093626A" w:rsidRPr="00634580" w:rsidRDefault="00000000" w:rsidP="00634580">
              <w:pPr>
                <w:pStyle w:val="Bibliografa1"/>
                <w:spacing w:line="360" w:lineRule="auto"/>
                <w:rPr>
                  <w:rFonts w:ascii="Arial" w:hAnsi="Arial" w:cs="Arial"/>
                  <w:color w:val="000000" w:themeColor="text1"/>
                  <w:sz w:val="24"/>
                  <w:szCs w:val="24"/>
                  <w:lang w:val="en-US"/>
                </w:rPr>
              </w:pPr>
              <w:r w:rsidRPr="00634580">
                <w:rPr>
                  <w:rFonts w:ascii="Arial" w:hAnsi="Arial" w:cs="Arial"/>
                  <w:color w:val="000000" w:themeColor="text1"/>
                  <w:sz w:val="24"/>
                  <w:szCs w:val="24"/>
                </w:rPr>
                <w:t xml:space="preserve">Perkins, D., Jugdev, K., &amp; Mathur, G. (2018). </w:t>
              </w:r>
              <w:r w:rsidRPr="00634580">
                <w:rPr>
                  <w:rFonts w:ascii="Arial" w:hAnsi="Arial" w:cs="Arial"/>
                  <w:color w:val="000000" w:themeColor="text1"/>
                  <w:sz w:val="24"/>
                  <w:szCs w:val="24"/>
                  <w:lang w:val="en-US"/>
                </w:rPr>
                <w:t xml:space="preserve">Characteristics of Project Management Assets and Project Management Process Outcomes: An Exploratory Factor Analysis. </w:t>
              </w:r>
              <w:r w:rsidRPr="00634580">
                <w:rPr>
                  <w:rFonts w:ascii="Arial" w:hAnsi="Arial" w:cs="Arial"/>
                  <w:i/>
                  <w:iCs/>
                  <w:color w:val="000000" w:themeColor="text1"/>
                  <w:sz w:val="24"/>
                  <w:szCs w:val="24"/>
                  <w:lang w:val="en-US"/>
                </w:rPr>
                <w:t>International Journal of Information Technology Project Management, 9</w:t>
              </w:r>
              <w:r w:rsidRPr="00634580">
                <w:rPr>
                  <w:rFonts w:ascii="Arial" w:hAnsi="Arial" w:cs="Arial"/>
                  <w:color w:val="000000" w:themeColor="text1"/>
                  <w:sz w:val="24"/>
                  <w:szCs w:val="24"/>
                  <w:lang w:val="en-US"/>
                </w:rPr>
                <w:t>(1), 59-77. doi:10.4018/IJITPM.2018010104</w:t>
              </w:r>
            </w:p>
            <w:p w14:paraId="42EB796C" w14:textId="77777777" w:rsidR="0093626A" w:rsidRPr="00634580" w:rsidRDefault="00000000" w:rsidP="00634580">
              <w:pPr>
                <w:pStyle w:val="Bibliografa1"/>
                <w:spacing w:line="360" w:lineRule="auto"/>
                <w:rPr>
                  <w:rFonts w:ascii="Arial" w:hAnsi="Arial" w:cs="Arial"/>
                  <w:color w:val="000000" w:themeColor="text1"/>
                  <w:sz w:val="24"/>
                  <w:szCs w:val="24"/>
                  <w:lang w:val="en-US"/>
                </w:rPr>
              </w:pPr>
              <w:r w:rsidRPr="00634580">
                <w:rPr>
                  <w:rFonts w:ascii="Arial" w:hAnsi="Arial" w:cs="Arial"/>
                  <w:color w:val="000000" w:themeColor="text1"/>
                  <w:sz w:val="24"/>
                  <w:szCs w:val="24"/>
                  <w:lang w:val="en-US"/>
                </w:rPr>
                <w:t xml:space="preserve">Perkins, D., Mathur, G., &amp; Jugdev, K. (2020). Project management resources and outcomes: a confirmatory factor analysis. </w:t>
              </w:r>
              <w:r w:rsidRPr="00634580">
                <w:rPr>
                  <w:rFonts w:ascii="Arial" w:hAnsi="Arial" w:cs="Arial"/>
                  <w:i/>
                  <w:iCs/>
                  <w:color w:val="000000" w:themeColor="text1"/>
                  <w:sz w:val="24"/>
                  <w:szCs w:val="24"/>
                  <w:lang w:val="en-US"/>
                </w:rPr>
                <w:t>International Journal of Managing Projects in Business, 13</w:t>
              </w:r>
              <w:r w:rsidRPr="00634580">
                <w:rPr>
                  <w:rFonts w:ascii="Arial" w:hAnsi="Arial" w:cs="Arial"/>
                  <w:color w:val="000000" w:themeColor="text1"/>
                  <w:sz w:val="24"/>
                  <w:szCs w:val="24"/>
                  <w:lang w:val="en-US"/>
                </w:rPr>
                <w:t>(3), 600-615. doi:10.1108/IJMPB-07-2019-0170</w:t>
              </w:r>
            </w:p>
            <w:p w14:paraId="5E9DFF92" w14:textId="77777777" w:rsidR="0093626A" w:rsidRPr="00634580" w:rsidRDefault="00000000" w:rsidP="00634580">
              <w:pPr>
                <w:pStyle w:val="Bibliografa1"/>
                <w:spacing w:line="360" w:lineRule="auto"/>
                <w:rPr>
                  <w:rFonts w:ascii="Arial" w:hAnsi="Arial" w:cs="Arial"/>
                  <w:color w:val="000000" w:themeColor="text1"/>
                  <w:sz w:val="24"/>
                  <w:szCs w:val="24"/>
                  <w:lang w:val="en-US"/>
                </w:rPr>
              </w:pPr>
              <w:r w:rsidRPr="00634580">
                <w:rPr>
                  <w:rFonts w:ascii="Arial" w:hAnsi="Arial" w:cs="Arial"/>
                  <w:color w:val="000000" w:themeColor="text1"/>
                  <w:sz w:val="24"/>
                  <w:szCs w:val="24"/>
                  <w:lang w:val="en-US"/>
                </w:rPr>
                <w:t xml:space="preserve">Perks, R., &amp; Schulz, K. (2020). Gender in oil, gas and mining: An overview of the global state-of-play. </w:t>
              </w:r>
              <w:r w:rsidRPr="00634580">
                <w:rPr>
                  <w:rFonts w:ascii="Arial" w:hAnsi="Arial" w:cs="Arial"/>
                  <w:i/>
                  <w:iCs/>
                  <w:color w:val="000000" w:themeColor="text1"/>
                  <w:sz w:val="24"/>
                  <w:szCs w:val="24"/>
                  <w:lang w:val="en-US"/>
                </w:rPr>
                <w:t>The Extractive Industries and Society, 7</w:t>
              </w:r>
              <w:r w:rsidRPr="00634580">
                <w:rPr>
                  <w:rFonts w:ascii="Arial" w:hAnsi="Arial" w:cs="Arial"/>
                  <w:color w:val="000000" w:themeColor="text1"/>
                  <w:sz w:val="24"/>
                  <w:szCs w:val="24"/>
                  <w:lang w:val="en-US"/>
                </w:rPr>
                <w:t>(2), 380-388. Obtenido de https://www.sciencedirect.com/science/article/abs/pii/S2214790X20301386?via%3Dihub</w:t>
              </w:r>
            </w:p>
            <w:p w14:paraId="6E626DFC" w14:textId="77777777" w:rsidR="0093626A" w:rsidRPr="00634580" w:rsidRDefault="00000000" w:rsidP="00634580">
              <w:pPr>
                <w:pStyle w:val="Bibliografa1"/>
                <w:spacing w:line="360" w:lineRule="auto"/>
                <w:rPr>
                  <w:rFonts w:ascii="Arial" w:hAnsi="Arial" w:cs="Arial"/>
                  <w:color w:val="000000" w:themeColor="text1"/>
                  <w:sz w:val="24"/>
                  <w:szCs w:val="24"/>
                </w:rPr>
              </w:pPr>
              <w:r w:rsidRPr="00634580">
                <w:rPr>
                  <w:rFonts w:ascii="Arial" w:hAnsi="Arial" w:cs="Arial"/>
                  <w:color w:val="000000" w:themeColor="text1"/>
                  <w:sz w:val="24"/>
                  <w:szCs w:val="24"/>
                </w:rPr>
                <w:lastRenderedPageBreak/>
                <w:t>Project Management Institute [PMI]. (2017). Guía de los Fundamentos de Dirección de Proyectos (Guía del PMBOK) , Sexta Edición.</w:t>
              </w:r>
            </w:p>
            <w:p w14:paraId="5122569B" w14:textId="77777777" w:rsidR="0093626A" w:rsidRPr="00634580" w:rsidRDefault="00000000" w:rsidP="00634580">
              <w:pPr>
                <w:pStyle w:val="Bibliografa1"/>
                <w:spacing w:line="360" w:lineRule="auto"/>
                <w:rPr>
                  <w:rFonts w:ascii="Arial" w:hAnsi="Arial" w:cs="Arial"/>
                  <w:color w:val="000000" w:themeColor="text1"/>
                  <w:sz w:val="24"/>
                  <w:szCs w:val="24"/>
                  <w:lang w:val="en-US"/>
                </w:rPr>
              </w:pPr>
              <w:r w:rsidRPr="00634580">
                <w:rPr>
                  <w:rFonts w:ascii="Arial" w:hAnsi="Arial" w:cs="Arial"/>
                  <w:color w:val="000000" w:themeColor="text1"/>
                  <w:sz w:val="24"/>
                  <w:szCs w:val="24"/>
                </w:rPr>
                <w:t xml:space="preserve">Salazar-Aramayo, J., Rodrigues-da-Silveira, R., Rodrigues-de-Almeida, M., &amp; Castro-Dantas, T. (2013). </w:t>
              </w:r>
              <w:r w:rsidRPr="00634580">
                <w:rPr>
                  <w:rFonts w:ascii="Arial" w:hAnsi="Arial" w:cs="Arial"/>
                  <w:color w:val="000000" w:themeColor="text1"/>
                  <w:sz w:val="24"/>
                  <w:szCs w:val="24"/>
                  <w:lang w:val="en-US"/>
                </w:rPr>
                <w:t xml:space="preserve">A conceptual model for project management of exploration and production in oil and gas industry: The case of a Brazilian company. </w:t>
              </w:r>
              <w:r w:rsidRPr="00634580">
                <w:rPr>
                  <w:rFonts w:ascii="Arial" w:hAnsi="Arial" w:cs="Arial"/>
                  <w:i/>
                  <w:iCs/>
                  <w:color w:val="000000" w:themeColor="text1"/>
                  <w:sz w:val="24"/>
                  <w:szCs w:val="24"/>
                  <w:lang w:val="en-US"/>
                </w:rPr>
                <w:t>International Journal of Project Management</w:t>
              </w:r>
              <w:r w:rsidRPr="00634580">
                <w:rPr>
                  <w:rFonts w:ascii="Arial" w:hAnsi="Arial" w:cs="Arial"/>
                  <w:color w:val="000000" w:themeColor="text1"/>
                  <w:sz w:val="24"/>
                  <w:szCs w:val="24"/>
                  <w:lang w:val="en-US"/>
                </w:rPr>
                <w:t>, 589-601. doi:http://dx.doi.org/10.1016/j.ijproman.2012.09.016</w:t>
              </w:r>
            </w:p>
            <w:p w14:paraId="2D614E1A" w14:textId="77777777" w:rsidR="0093626A" w:rsidRPr="00634580" w:rsidRDefault="00000000" w:rsidP="00634580">
              <w:pPr>
                <w:pStyle w:val="Bibliografa1"/>
                <w:spacing w:line="360" w:lineRule="auto"/>
                <w:rPr>
                  <w:rFonts w:ascii="Arial" w:hAnsi="Arial" w:cs="Arial"/>
                  <w:color w:val="000000" w:themeColor="text1"/>
                  <w:sz w:val="24"/>
                  <w:szCs w:val="24"/>
                  <w:lang w:val="en-US"/>
                </w:rPr>
              </w:pPr>
              <w:r w:rsidRPr="00634580">
                <w:rPr>
                  <w:rFonts w:ascii="Arial" w:hAnsi="Arial" w:cs="Arial"/>
                  <w:color w:val="000000" w:themeColor="text1"/>
                  <w:sz w:val="24"/>
                  <w:szCs w:val="24"/>
                  <w:lang w:val="en-US"/>
                </w:rPr>
                <w:t xml:space="preserve">Sejvig, P. (2021). A Meta-theoretical framework for theory building in project management. </w:t>
              </w:r>
              <w:r w:rsidRPr="00634580">
                <w:rPr>
                  <w:rFonts w:ascii="Arial" w:hAnsi="Arial" w:cs="Arial"/>
                  <w:i/>
                  <w:iCs/>
                  <w:color w:val="000000" w:themeColor="text1"/>
                  <w:sz w:val="24"/>
                  <w:szCs w:val="24"/>
                  <w:lang w:val="en-US"/>
                </w:rPr>
                <w:t>International Journal of Project Management, 39</w:t>
              </w:r>
              <w:r w:rsidRPr="00634580">
                <w:rPr>
                  <w:rFonts w:ascii="Arial" w:hAnsi="Arial" w:cs="Arial"/>
                  <w:color w:val="000000" w:themeColor="text1"/>
                  <w:sz w:val="24"/>
                  <w:szCs w:val="24"/>
                  <w:lang w:val="en-US"/>
                </w:rPr>
                <w:t>(8), 849-872. doi:https://doi.org/10.1016/j.ijproman.2021.09.006</w:t>
              </w:r>
            </w:p>
            <w:p w14:paraId="08FE1477" w14:textId="77777777" w:rsidR="0093626A" w:rsidRPr="00634580" w:rsidRDefault="00000000" w:rsidP="00634580">
              <w:pPr>
                <w:pStyle w:val="Bibliografa1"/>
                <w:spacing w:line="360" w:lineRule="auto"/>
                <w:rPr>
                  <w:rFonts w:ascii="Arial" w:hAnsi="Arial" w:cs="Arial"/>
                  <w:color w:val="000000" w:themeColor="text1"/>
                  <w:sz w:val="24"/>
                  <w:szCs w:val="24"/>
                  <w:lang w:val="en-US"/>
                </w:rPr>
              </w:pPr>
              <w:r w:rsidRPr="00634580">
                <w:rPr>
                  <w:rFonts w:ascii="Arial" w:hAnsi="Arial" w:cs="Arial"/>
                  <w:color w:val="000000" w:themeColor="text1"/>
                  <w:sz w:val="24"/>
                  <w:szCs w:val="24"/>
                  <w:lang w:val="en-US"/>
                </w:rPr>
                <w:t xml:space="preserve">Seymour, T., &amp; Hussein, S. (2014). The History of Project Management. </w:t>
              </w:r>
              <w:r w:rsidRPr="00634580">
                <w:rPr>
                  <w:rFonts w:ascii="Arial" w:hAnsi="Arial" w:cs="Arial"/>
                  <w:i/>
                  <w:iCs/>
                  <w:color w:val="000000" w:themeColor="text1"/>
                  <w:sz w:val="24"/>
                  <w:szCs w:val="24"/>
                  <w:lang w:val="en-US"/>
                </w:rPr>
                <w:t>International Journal of Management &amp; Information Systems, 18</w:t>
              </w:r>
              <w:r w:rsidRPr="00634580">
                <w:rPr>
                  <w:rFonts w:ascii="Arial" w:hAnsi="Arial" w:cs="Arial"/>
                  <w:color w:val="000000" w:themeColor="text1"/>
                  <w:sz w:val="24"/>
                  <w:szCs w:val="24"/>
                  <w:lang w:val="en-US"/>
                </w:rPr>
                <w:t>(4), 233-240. Obtenido de https://clutejournals.com/index.php/IJMIS/article/view/8820/8811</w:t>
              </w:r>
            </w:p>
            <w:p w14:paraId="1663C49E" w14:textId="77777777" w:rsidR="0093626A" w:rsidRPr="00634580" w:rsidRDefault="00000000" w:rsidP="00634580">
              <w:pPr>
                <w:pStyle w:val="Bibliografa1"/>
                <w:spacing w:line="360" w:lineRule="auto"/>
                <w:rPr>
                  <w:rFonts w:ascii="Arial" w:hAnsi="Arial" w:cs="Arial"/>
                  <w:color w:val="000000" w:themeColor="text1"/>
                  <w:sz w:val="24"/>
                  <w:szCs w:val="24"/>
                  <w:lang w:val="en-US"/>
                </w:rPr>
              </w:pPr>
              <w:r w:rsidRPr="00634580">
                <w:rPr>
                  <w:rFonts w:ascii="Arial" w:hAnsi="Arial" w:cs="Arial"/>
                  <w:color w:val="000000" w:themeColor="text1"/>
                  <w:sz w:val="24"/>
                  <w:szCs w:val="24"/>
                  <w:lang w:val="en-US"/>
                </w:rPr>
                <w:t xml:space="preserve">Shepaherd, D. A., &amp; Suddaby, R. (2017). Theory building: a reviwe and integration. </w:t>
              </w:r>
              <w:r w:rsidRPr="00634580">
                <w:rPr>
                  <w:rFonts w:ascii="Arial" w:hAnsi="Arial" w:cs="Arial"/>
                  <w:i/>
                  <w:iCs/>
                  <w:color w:val="000000" w:themeColor="text1"/>
                  <w:sz w:val="24"/>
                  <w:szCs w:val="24"/>
                  <w:lang w:val="en-US"/>
                </w:rPr>
                <w:t>Journal of Management, 43</w:t>
              </w:r>
              <w:r w:rsidRPr="00634580">
                <w:rPr>
                  <w:rFonts w:ascii="Arial" w:hAnsi="Arial" w:cs="Arial"/>
                  <w:color w:val="000000" w:themeColor="text1"/>
                  <w:sz w:val="24"/>
                  <w:szCs w:val="24"/>
                  <w:lang w:val="en-US"/>
                </w:rPr>
                <w:t>(1), 59-86. doi:https://doi.org/10.1177/0149206316647102</w:t>
              </w:r>
            </w:p>
            <w:p w14:paraId="0C7A9B65" w14:textId="77777777" w:rsidR="0093626A" w:rsidRPr="00634580" w:rsidRDefault="00000000" w:rsidP="00634580">
              <w:pPr>
                <w:pStyle w:val="Bibliografa1"/>
                <w:spacing w:line="360" w:lineRule="auto"/>
                <w:rPr>
                  <w:rFonts w:ascii="Arial" w:hAnsi="Arial" w:cs="Arial"/>
                  <w:color w:val="000000" w:themeColor="text1"/>
                  <w:sz w:val="24"/>
                  <w:szCs w:val="24"/>
                  <w:lang w:val="en-US"/>
                </w:rPr>
              </w:pPr>
              <w:r w:rsidRPr="00634580">
                <w:rPr>
                  <w:rFonts w:ascii="Arial" w:hAnsi="Arial" w:cs="Arial"/>
                  <w:color w:val="000000" w:themeColor="text1"/>
                  <w:sz w:val="24"/>
                  <w:szCs w:val="24"/>
                  <w:lang w:val="en-US"/>
                </w:rPr>
                <w:t xml:space="preserve">Usher, G., &amp; Whitty, S. J. (2017). The final state convergence model. </w:t>
              </w:r>
              <w:r w:rsidRPr="00634580">
                <w:rPr>
                  <w:rFonts w:ascii="Arial" w:hAnsi="Arial" w:cs="Arial"/>
                  <w:i/>
                  <w:iCs/>
                  <w:color w:val="000000" w:themeColor="text1"/>
                  <w:sz w:val="24"/>
                  <w:szCs w:val="24"/>
                  <w:lang w:val="en-US"/>
                </w:rPr>
                <w:t>International Journal of Managing Projects in Business</w:t>
              </w:r>
              <w:r w:rsidRPr="00634580">
                <w:rPr>
                  <w:rFonts w:ascii="Arial" w:hAnsi="Arial" w:cs="Arial"/>
                  <w:color w:val="000000" w:themeColor="text1"/>
                  <w:sz w:val="24"/>
                  <w:szCs w:val="24"/>
                  <w:lang w:val="en-US"/>
                </w:rPr>
                <w:t>. doi:doi.org/10.1108/IJMPB-11-2016-0090</w:t>
              </w:r>
            </w:p>
            <w:p w14:paraId="56A83BCB" w14:textId="77777777" w:rsidR="0093626A" w:rsidRPr="00634580" w:rsidRDefault="00000000" w:rsidP="00634580">
              <w:pPr>
                <w:pStyle w:val="Bibliografa1"/>
                <w:spacing w:line="360" w:lineRule="auto"/>
                <w:rPr>
                  <w:rFonts w:ascii="Arial" w:hAnsi="Arial" w:cs="Arial"/>
                  <w:color w:val="000000" w:themeColor="text1"/>
                  <w:sz w:val="24"/>
                  <w:szCs w:val="24"/>
                </w:rPr>
              </w:pPr>
              <w:r w:rsidRPr="00634580">
                <w:rPr>
                  <w:rFonts w:ascii="Arial" w:hAnsi="Arial" w:cs="Arial"/>
                  <w:color w:val="000000" w:themeColor="text1"/>
                  <w:sz w:val="24"/>
                  <w:szCs w:val="24"/>
                </w:rPr>
                <w:t xml:space="preserve">Vélez, S., Zapata, J., &amp; Henao, A. (2018). Gestión de Proyectos: origen, instituciones, metodologías, estándares y certificaciones. </w:t>
              </w:r>
              <w:r w:rsidRPr="00634580">
                <w:rPr>
                  <w:rFonts w:ascii="Arial" w:hAnsi="Arial" w:cs="Arial"/>
                  <w:i/>
                  <w:iCs/>
                  <w:color w:val="000000" w:themeColor="text1"/>
                  <w:sz w:val="24"/>
                  <w:szCs w:val="24"/>
                </w:rPr>
                <w:t>Entre Ciencia e Ingeniería, 12</w:t>
              </w:r>
              <w:r w:rsidRPr="00634580">
                <w:rPr>
                  <w:rFonts w:ascii="Arial" w:hAnsi="Arial" w:cs="Arial"/>
                  <w:color w:val="000000" w:themeColor="text1"/>
                  <w:sz w:val="24"/>
                  <w:szCs w:val="24"/>
                </w:rPr>
                <w:t>(24), 68-76. doi:https://doi.org/10.31908/19098367.3818</w:t>
              </w:r>
            </w:p>
            <w:p w14:paraId="0F0ACD3D" w14:textId="77777777" w:rsidR="0093626A" w:rsidRPr="00634580" w:rsidRDefault="00000000" w:rsidP="00634580">
              <w:pPr>
                <w:pStyle w:val="Bibliografa1"/>
                <w:spacing w:line="360" w:lineRule="auto"/>
                <w:rPr>
                  <w:rFonts w:ascii="Arial" w:hAnsi="Arial" w:cs="Arial"/>
                  <w:color w:val="000000" w:themeColor="text1"/>
                  <w:sz w:val="24"/>
                  <w:szCs w:val="24"/>
                </w:rPr>
              </w:pPr>
              <w:r w:rsidRPr="00634580">
                <w:rPr>
                  <w:rFonts w:ascii="Arial" w:hAnsi="Arial" w:cs="Arial"/>
                  <w:color w:val="000000" w:themeColor="text1"/>
                  <w:sz w:val="24"/>
                  <w:szCs w:val="24"/>
                </w:rPr>
                <w:t xml:space="preserve">Veliz, C. (2017). Análisis Multivariante: métodos estadísticos multivariantes para la investigación. </w:t>
              </w:r>
              <w:r w:rsidRPr="00634580">
                <w:rPr>
                  <w:rFonts w:ascii="Arial" w:hAnsi="Arial" w:cs="Arial"/>
                  <w:i/>
                  <w:iCs/>
                  <w:color w:val="000000" w:themeColor="text1"/>
                  <w:sz w:val="24"/>
                  <w:szCs w:val="24"/>
                </w:rPr>
                <w:t>CENGAGE Learning.</w:t>
              </w:r>
            </w:p>
            <w:p w14:paraId="2C70659E" w14:textId="77777777" w:rsidR="0093626A" w:rsidRPr="00634580" w:rsidRDefault="00000000" w:rsidP="00634580">
              <w:pPr>
                <w:pStyle w:val="Bibliografa1"/>
                <w:spacing w:line="360" w:lineRule="auto"/>
                <w:rPr>
                  <w:rFonts w:ascii="Arial" w:hAnsi="Arial" w:cs="Arial"/>
                  <w:color w:val="000000" w:themeColor="text1"/>
                  <w:sz w:val="24"/>
                  <w:szCs w:val="24"/>
                </w:rPr>
              </w:pPr>
              <w:r w:rsidRPr="00634580">
                <w:rPr>
                  <w:rFonts w:ascii="Arial" w:hAnsi="Arial" w:cs="Arial"/>
                  <w:color w:val="000000" w:themeColor="text1"/>
                  <w:sz w:val="24"/>
                  <w:szCs w:val="24"/>
                </w:rPr>
                <w:t>Verástegui, J. (2014). ISO 21500. Directrices para la Dirección y Gestión de Proyecto. Quito, Ecuador.: IV Congreso Internacional de Dirección de Proyectos. Obtenido de http://www.iso-21500.es/sites/default/files/ficheros_adjuntos/charla_congreso_pmi_ecuador.pdf</w:t>
              </w:r>
            </w:p>
            <w:p w14:paraId="6EF72AAC" w14:textId="77777777" w:rsidR="0093626A" w:rsidRPr="00634580" w:rsidRDefault="00000000" w:rsidP="00634580">
              <w:pPr>
                <w:pStyle w:val="Bibliografa1"/>
                <w:spacing w:line="360" w:lineRule="auto"/>
                <w:rPr>
                  <w:rFonts w:ascii="Arial" w:hAnsi="Arial" w:cs="Arial"/>
                  <w:color w:val="000000" w:themeColor="text1"/>
                  <w:sz w:val="24"/>
                  <w:szCs w:val="24"/>
                  <w:lang w:val="en-US"/>
                </w:rPr>
              </w:pPr>
              <w:r w:rsidRPr="00634580">
                <w:rPr>
                  <w:rFonts w:ascii="Arial" w:hAnsi="Arial" w:cs="Arial"/>
                  <w:color w:val="000000" w:themeColor="text1"/>
                  <w:sz w:val="24"/>
                  <w:szCs w:val="24"/>
                </w:rPr>
                <w:lastRenderedPageBreak/>
                <w:t xml:space="preserve">Viechtbauer, W., Smits, L., Kotz, D., Budé, L., Spigt, M., Serroyen, J., &amp; Crutzen, R. (2015). </w:t>
              </w:r>
              <w:r w:rsidRPr="00634580">
                <w:rPr>
                  <w:rFonts w:ascii="Arial" w:hAnsi="Arial" w:cs="Arial"/>
                  <w:color w:val="000000" w:themeColor="text1"/>
                  <w:sz w:val="24"/>
                  <w:szCs w:val="24"/>
                  <w:lang w:val="en-US"/>
                </w:rPr>
                <w:t xml:space="preserve">A simple formula for the calculation of sample size in pilot studies. </w:t>
              </w:r>
              <w:r w:rsidRPr="00634580">
                <w:rPr>
                  <w:rFonts w:ascii="Arial" w:hAnsi="Arial" w:cs="Arial"/>
                  <w:i/>
                  <w:iCs/>
                  <w:color w:val="000000" w:themeColor="text1"/>
                  <w:sz w:val="24"/>
                  <w:szCs w:val="24"/>
                  <w:lang w:val="en-US"/>
                </w:rPr>
                <w:t>Journal of Clinical Epidemiology, 68</w:t>
              </w:r>
              <w:r w:rsidRPr="00634580">
                <w:rPr>
                  <w:rFonts w:ascii="Arial" w:hAnsi="Arial" w:cs="Arial"/>
                  <w:color w:val="000000" w:themeColor="text1"/>
                  <w:sz w:val="24"/>
                  <w:szCs w:val="24"/>
                  <w:lang w:val="en-US"/>
                </w:rPr>
                <w:t>(11), 1375-1379. Obtenido de https://cris.maastrichtuniversity.nl/ws/portalfiles/portal/34670747/Viechtbauer_2015_Simple_Formula_for_the_Calculation.pdf</w:t>
              </w:r>
            </w:p>
            <w:p w14:paraId="1B2D053E" w14:textId="77777777" w:rsidR="0093626A" w:rsidRPr="00634580" w:rsidRDefault="00000000" w:rsidP="00634580">
              <w:pPr>
                <w:pStyle w:val="Bibliografa1"/>
                <w:spacing w:line="360" w:lineRule="auto"/>
                <w:rPr>
                  <w:rFonts w:ascii="Arial" w:hAnsi="Arial" w:cs="Arial"/>
                  <w:color w:val="000000" w:themeColor="text1"/>
                  <w:sz w:val="24"/>
                  <w:szCs w:val="24"/>
                  <w:lang w:val="en-US"/>
                </w:rPr>
              </w:pPr>
              <w:r w:rsidRPr="00634580">
                <w:rPr>
                  <w:rFonts w:ascii="Arial" w:hAnsi="Arial" w:cs="Arial"/>
                  <w:color w:val="000000" w:themeColor="text1"/>
                  <w:sz w:val="24"/>
                  <w:szCs w:val="24"/>
                  <w:lang w:val="en-US"/>
                </w:rPr>
                <w:t xml:space="preserve">Yang, Y., Brosch, G., Yang, B., &amp; Cadden, T. (2019). Dissemination and communication of lessons learned for a project-based business with the application of information technology: a case study with Semens. </w:t>
              </w:r>
              <w:r w:rsidRPr="00634580">
                <w:rPr>
                  <w:rFonts w:ascii="Arial" w:hAnsi="Arial" w:cs="Arial"/>
                  <w:i/>
                  <w:iCs/>
                  <w:color w:val="000000" w:themeColor="text1"/>
                  <w:sz w:val="24"/>
                  <w:szCs w:val="24"/>
                  <w:lang w:val="en-US"/>
                </w:rPr>
                <w:t>Production Planning &amp; Control. The Management of Operations.</w:t>
              </w:r>
              <w:r w:rsidRPr="00634580">
                <w:rPr>
                  <w:rFonts w:ascii="Arial" w:hAnsi="Arial" w:cs="Arial"/>
                  <w:color w:val="000000" w:themeColor="text1"/>
                  <w:sz w:val="24"/>
                  <w:szCs w:val="24"/>
                  <w:lang w:val="en-US"/>
                </w:rPr>
                <w:t xml:space="preserve"> doi:https://doi.org/10.1080/09537287.2019.1630682</w:t>
              </w:r>
            </w:p>
            <w:p w14:paraId="292EDFA3" w14:textId="77777777" w:rsidR="0093626A" w:rsidRPr="00634580" w:rsidRDefault="00000000" w:rsidP="00634580">
              <w:pPr>
                <w:spacing w:line="360" w:lineRule="auto"/>
                <w:rPr>
                  <w:rFonts w:ascii="Arial" w:hAnsi="Arial" w:cs="Arial"/>
                  <w:sz w:val="24"/>
                  <w:szCs w:val="24"/>
                </w:rPr>
              </w:pPr>
              <w:r w:rsidRPr="00634580">
                <w:rPr>
                  <w:rFonts w:ascii="Arial" w:hAnsi="Arial" w:cs="Arial"/>
                  <w:b/>
                  <w:bCs/>
                  <w:color w:val="000000" w:themeColor="text1"/>
                  <w:sz w:val="24"/>
                  <w:szCs w:val="24"/>
                </w:rPr>
                <w:fldChar w:fldCharType="end"/>
              </w:r>
            </w:p>
          </w:sdtContent>
        </w:sdt>
      </w:sdtContent>
    </w:sdt>
    <w:p w14:paraId="064627F7" w14:textId="77777777" w:rsidR="0093626A" w:rsidRDefault="0093626A" w:rsidP="005915A7">
      <w:pPr>
        <w:spacing w:after="0" w:line="360" w:lineRule="auto"/>
        <w:jc w:val="center"/>
        <w:rPr>
          <w:rFonts w:ascii="Arial" w:hAnsi="Arial" w:cs="Arial"/>
          <w:b/>
          <w:bCs/>
          <w:sz w:val="24"/>
          <w:szCs w:val="24"/>
        </w:rPr>
      </w:pPr>
    </w:p>
    <w:p w14:paraId="4C77E79A" w14:textId="77777777" w:rsidR="0093626A" w:rsidRDefault="0093626A" w:rsidP="005915A7">
      <w:pPr>
        <w:spacing w:after="0" w:line="360" w:lineRule="auto"/>
        <w:jc w:val="center"/>
        <w:rPr>
          <w:rFonts w:ascii="Arial" w:hAnsi="Arial" w:cs="Arial"/>
          <w:b/>
          <w:bCs/>
          <w:sz w:val="24"/>
          <w:szCs w:val="24"/>
        </w:rPr>
      </w:pPr>
    </w:p>
    <w:p w14:paraId="4A668D1B" w14:textId="77777777" w:rsidR="0028464D" w:rsidRDefault="0028464D" w:rsidP="005915A7">
      <w:pPr>
        <w:spacing w:after="0" w:line="360" w:lineRule="auto"/>
        <w:jc w:val="center"/>
        <w:rPr>
          <w:rFonts w:ascii="Arial" w:hAnsi="Arial" w:cs="Arial"/>
          <w:b/>
          <w:bCs/>
          <w:sz w:val="24"/>
          <w:szCs w:val="24"/>
        </w:rPr>
      </w:pPr>
    </w:p>
    <w:p w14:paraId="0184695E" w14:textId="77777777" w:rsidR="0028464D" w:rsidRDefault="0028464D" w:rsidP="005915A7">
      <w:pPr>
        <w:spacing w:after="0" w:line="360" w:lineRule="auto"/>
        <w:jc w:val="center"/>
        <w:rPr>
          <w:rFonts w:ascii="Arial" w:hAnsi="Arial" w:cs="Arial"/>
          <w:b/>
          <w:bCs/>
          <w:sz w:val="24"/>
          <w:szCs w:val="24"/>
        </w:rPr>
      </w:pPr>
    </w:p>
    <w:p w14:paraId="5A082F28" w14:textId="77777777" w:rsidR="0028464D" w:rsidRDefault="0028464D" w:rsidP="005915A7">
      <w:pPr>
        <w:spacing w:after="0" w:line="360" w:lineRule="auto"/>
        <w:jc w:val="center"/>
        <w:rPr>
          <w:rFonts w:ascii="Arial" w:hAnsi="Arial" w:cs="Arial"/>
          <w:b/>
          <w:bCs/>
          <w:sz w:val="24"/>
          <w:szCs w:val="24"/>
        </w:rPr>
      </w:pPr>
    </w:p>
    <w:p w14:paraId="1B16A1D0" w14:textId="77777777" w:rsidR="0028464D" w:rsidRDefault="0028464D" w:rsidP="005915A7">
      <w:pPr>
        <w:spacing w:after="0" w:line="360" w:lineRule="auto"/>
        <w:jc w:val="center"/>
        <w:rPr>
          <w:rFonts w:ascii="Arial" w:hAnsi="Arial" w:cs="Arial"/>
          <w:b/>
          <w:bCs/>
          <w:sz w:val="24"/>
          <w:szCs w:val="24"/>
        </w:rPr>
      </w:pPr>
    </w:p>
    <w:p w14:paraId="7D6C72A1" w14:textId="77777777" w:rsidR="0028464D" w:rsidRDefault="0028464D" w:rsidP="005915A7">
      <w:pPr>
        <w:spacing w:after="0" w:line="360" w:lineRule="auto"/>
        <w:jc w:val="center"/>
        <w:rPr>
          <w:rFonts w:ascii="Arial" w:hAnsi="Arial" w:cs="Arial"/>
          <w:b/>
          <w:bCs/>
          <w:sz w:val="24"/>
          <w:szCs w:val="24"/>
        </w:rPr>
      </w:pPr>
    </w:p>
    <w:p w14:paraId="682452FB" w14:textId="77777777" w:rsidR="0028464D" w:rsidRDefault="0028464D" w:rsidP="005915A7">
      <w:pPr>
        <w:spacing w:after="0" w:line="360" w:lineRule="auto"/>
        <w:jc w:val="center"/>
        <w:rPr>
          <w:rFonts w:ascii="Arial" w:hAnsi="Arial" w:cs="Arial"/>
          <w:b/>
          <w:bCs/>
          <w:sz w:val="24"/>
          <w:szCs w:val="24"/>
        </w:rPr>
      </w:pPr>
    </w:p>
    <w:p w14:paraId="7E9A63A6" w14:textId="77777777" w:rsidR="0028464D" w:rsidRDefault="0028464D" w:rsidP="005915A7">
      <w:pPr>
        <w:spacing w:after="0" w:line="360" w:lineRule="auto"/>
        <w:jc w:val="center"/>
        <w:rPr>
          <w:rFonts w:ascii="Arial" w:hAnsi="Arial" w:cs="Arial"/>
          <w:b/>
          <w:bCs/>
          <w:sz w:val="24"/>
          <w:szCs w:val="24"/>
        </w:rPr>
      </w:pPr>
    </w:p>
    <w:p w14:paraId="707FC032" w14:textId="77777777" w:rsidR="0028464D" w:rsidRDefault="0028464D" w:rsidP="005915A7">
      <w:pPr>
        <w:spacing w:after="0" w:line="360" w:lineRule="auto"/>
        <w:jc w:val="center"/>
        <w:rPr>
          <w:rFonts w:ascii="Arial" w:hAnsi="Arial" w:cs="Arial"/>
          <w:b/>
          <w:bCs/>
          <w:sz w:val="24"/>
          <w:szCs w:val="24"/>
        </w:rPr>
      </w:pPr>
    </w:p>
    <w:p w14:paraId="19B63516" w14:textId="77777777" w:rsidR="0028464D" w:rsidRDefault="0028464D" w:rsidP="005915A7">
      <w:pPr>
        <w:spacing w:after="0" w:line="360" w:lineRule="auto"/>
        <w:jc w:val="center"/>
        <w:rPr>
          <w:rFonts w:ascii="Arial" w:hAnsi="Arial" w:cs="Arial"/>
          <w:b/>
          <w:bCs/>
          <w:sz w:val="24"/>
          <w:szCs w:val="24"/>
        </w:rPr>
      </w:pPr>
    </w:p>
    <w:p w14:paraId="1365C5D3" w14:textId="77777777" w:rsidR="0028464D" w:rsidRDefault="0028464D" w:rsidP="005915A7">
      <w:pPr>
        <w:spacing w:after="0" w:line="360" w:lineRule="auto"/>
        <w:jc w:val="center"/>
        <w:rPr>
          <w:rFonts w:ascii="Arial" w:hAnsi="Arial" w:cs="Arial"/>
          <w:b/>
          <w:bCs/>
          <w:sz w:val="24"/>
          <w:szCs w:val="24"/>
        </w:rPr>
      </w:pPr>
    </w:p>
    <w:p w14:paraId="2CBE5932" w14:textId="77777777" w:rsidR="0028464D" w:rsidRDefault="0028464D" w:rsidP="005915A7">
      <w:pPr>
        <w:spacing w:after="0" w:line="360" w:lineRule="auto"/>
        <w:jc w:val="center"/>
        <w:rPr>
          <w:rFonts w:ascii="Arial" w:hAnsi="Arial" w:cs="Arial"/>
          <w:b/>
          <w:bCs/>
          <w:sz w:val="24"/>
          <w:szCs w:val="24"/>
        </w:rPr>
      </w:pPr>
    </w:p>
    <w:p w14:paraId="04BFB717" w14:textId="77777777" w:rsidR="0028464D" w:rsidRDefault="0028464D" w:rsidP="005915A7">
      <w:pPr>
        <w:spacing w:after="0" w:line="360" w:lineRule="auto"/>
        <w:jc w:val="center"/>
        <w:rPr>
          <w:rFonts w:ascii="Arial" w:hAnsi="Arial" w:cs="Arial"/>
          <w:b/>
          <w:bCs/>
          <w:sz w:val="24"/>
          <w:szCs w:val="24"/>
        </w:rPr>
      </w:pPr>
    </w:p>
    <w:p w14:paraId="741C696F" w14:textId="77777777" w:rsidR="0028464D" w:rsidRDefault="0028464D" w:rsidP="005915A7">
      <w:pPr>
        <w:spacing w:after="0" w:line="360" w:lineRule="auto"/>
        <w:jc w:val="center"/>
        <w:rPr>
          <w:rFonts w:ascii="Arial" w:hAnsi="Arial" w:cs="Arial"/>
          <w:b/>
          <w:bCs/>
          <w:sz w:val="24"/>
          <w:szCs w:val="24"/>
        </w:rPr>
      </w:pPr>
    </w:p>
    <w:p w14:paraId="2EFCD39E" w14:textId="77777777" w:rsidR="0093626A" w:rsidRDefault="0093626A" w:rsidP="005915A7">
      <w:pPr>
        <w:spacing w:after="0" w:line="360" w:lineRule="auto"/>
        <w:jc w:val="center"/>
        <w:rPr>
          <w:rFonts w:ascii="Arial" w:hAnsi="Arial" w:cs="Arial"/>
          <w:b/>
          <w:bCs/>
          <w:sz w:val="24"/>
          <w:szCs w:val="24"/>
        </w:rPr>
      </w:pPr>
    </w:p>
    <w:p w14:paraId="344F119E" w14:textId="77777777" w:rsidR="0093626A" w:rsidRDefault="0093626A" w:rsidP="005915A7">
      <w:pPr>
        <w:spacing w:after="0" w:line="360" w:lineRule="auto"/>
        <w:jc w:val="center"/>
        <w:rPr>
          <w:rFonts w:ascii="Arial" w:hAnsi="Arial" w:cs="Arial"/>
          <w:b/>
          <w:bCs/>
          <w:sz w:val="24"/>
          <w:szCs w:val="24"/>
        </w:rPr>
      </w:pPr>
    </w:p>
    <w:p w14:paraId="58639D3C" w14:textId="77777777" w:rsidR="0093626A" w:rsidRDefault="0093626A" w:rsidP="005915A7">
      <w:pPr>
        <w:spacing w:after="0" w:line="360" w:lineRule="auto"/>
        <w:jc w:val="center"/>
        <w:rPr>
          <w:rFonts w:ascii="Arial" w:hAnsi="Arial" w:cs="Arial"/>
          <w:b/>
          <w:bCs/>
          <w:sz w:val="24"/>
          <w:szCs w:val="24"/>
        </w:rPr>
      </w:pPr>
    </w:p>
    <w:p w14:paraId="0093E18A" w14:textId="77777777" w:rsidR="0093626A" w:rsidRDefault="0093626A" w:rsidP="005915A7">
      <w:pPr>
        <w:spacing w:after="0" w:line="360" w:lineRule="auto"/>
        <w:jc w:val="center"/>
        <w:rPr>
          <w:rFonts w:ascii="Arial" w:hAnsi="Arial" w:cs="Arial"/>
          <w:b/>
          <w:bCs/>
          <w:sz w:val="24"/>
          <w:szCs w:val="24"/>
        </w:rPr>
      </w:pPr>
    </w:p>
    <w:p w14:paraId="1848CD44" w14:textId="77777777" w:rsidR="0093626A" w:rsidRDefault="00000000" w:rsidP="005915A7">
      <w:pPr>
        <w:spacing w:after="0" w:line="360" w:lineRule="auto"/>
        <w:jc w:val="center"/>
        <w:rPr>
          <w:rFonts w:ascii="Arial" w:hAnsi="Arial" w:cs="Arial"/>
          <w:b/>
          <w:bCs/>
          <w:sz w:val="24"/>
          <w:szCs w:val="24"/>
        </w:rPr>
      </w:pPr>
      <w:r>
        <w:rPr>
          <w:rFonts w:ascii="Arial" w:hAnsi="Arial" w:cs="Arial"/>
          <w:b/>
          <w:bCs/>
          <w:sz w:val="24"/>
          <w:szCs w:val="24"/>
        </w:rPr>
        <w:lastRenderedPageBreak/>
        <w:t>TEORÍA DEL COMPORTAMIENTO PLANIFICADO EN EL CONSUMO RESPONSABLE</w:t>
      </w:r>
    </w:p>
    <w:p w14:paraId="3BF763C6" w14:textId="77777777" w:rsidR="0093626A" w:rsidRDefault="0093626A" w:rsidP="005915A7">
      <w:pPr>
        <w:spacing w:after="0" w:line="360" w:lineRule="auto"/>
        <w:jc w:val="center"/>
        <w:rPr>
          <w:rFonts w:ascii="Arial" w:hAnsi="Arial" w:cs="Arial"/>
          <w:b/>
          <w:bCs/>
          <w:sz w:val="24"/>
          <w:szCs w:val="24"/>
        </w:rPr>
      </w:pPr>
    </w:p>
    <w:p w14:paraId="1CBB7401" w14:textId="77777777" w:rsidR="0093626A" w:rsidRDefault="00000000" w:rsidP="005915A7">
      <w:pPr>
        <w:spacing w:after="0" w:line="360" w:lineRule="auto"/>
        <w:jc w:val="center"/>
        <w:rPr>
          <w:rFonts w:ascii="Arial" w:hAnsi="Arial" w:cs="Arial"/>
          <w:b/>
          <w:bCs/>
          <w:sz w:val="24"/>
          <w:szCs w:val="24"/>
        </w:rPr>
      </w:pPr>
      <w:r>
        <w:rPr>
          <w:rFonts w:ascii="Arial" w:hAnsi="Arial"/>
          <w:b/>
          <w:bCs/>
          <w:sz w:val="24"/>
          <w:szCs w:val="24"/>
        </w:rPr>
        <w:t>THEORY OF PLANNED BEHAVIOR IN RESPONSIBLE CONSUMPTION</w:t>
      </w:r>
    </w:p>
    <w:p w14:paraId="5E5E125E" w14:textId="77777777" w:rsidR="0093626A" w:rsidRDefault="0093626A" w:rsidP="005915A7">
      <w:pPr>
        <w:spacing w:after="0" w:line="360" w:lineRule="auto"/>
        <w:jc w:val="center"/>
        <w:rPr>
          <w:rFonts w:ascii="Arial" w:hAnsi="Arial" w:cs="Arial"/>
          <w:b/>
          <w:bCs/>
          <w:sz w:val="24"/>
          <w:szCs w:val="24"/>
        </w:rPr>
      </w:pPr>
    </w:p>
    <w:p w14:paraId="59F38F57" w14:textId="77777777" w:rsidR="0093626A" w:rsidRPr="00634580" w:rsidRDefault="00000000" w:rsidP="005915A7">
      <w:pPr>
        <w:spacing w:after="0" w:line="360" w:lineRule="auto"/>
        <w:jc w:val="center"/>
        <w:rPr>
          <w:rFonts w:ascii="Arial" w:hAnsi="Arial" w:cs="Arial"/>
          <w:i/>
          <w:iCs/>
          <w:sz w:val="24"/>
          <w:szCs w:val="24"/>
        </w:rPr>
      </w:pPr>
      <w:r w:rsidRPr="00634580">
        <w:rPr>
          <w:rFonts w:ascii="Arial" w:hAnsi="Arial" w:cs="Arial"/>
          <w:i/>
          <w:iCs/>
          <w:sz w:val="24"/>
          <w:szCs w:val="24"/>
        </w:rPr>
        <w:t>Karina Valencia Sandoval</w:t>
      </w:r>
    </w:p>
    <w:p w14:paraId="6FCEEBB9" w14:textId="77777777" w:rsidR="0093626A" w:rsidRPr="00634580" w:rsidRDefault="00000000" w:rsidP="005915A7">
      <w:pPr>
        <w:spacing w:after="0" w:line="360" w:lineRule="auto"/>
        <w:jc w:val="center"/>
        <w:rPr>
          <w:rFonts w:ascii="Arial" w:hAnsi="Arial" w:cs="Arial"/>
          <w:i/>
          <w:iCs/>
          <w:sz w:val="24"/>
          <w:szCs w:val="24"/>
        </w:rPr>
      </w:pPr>
      <w:r w:rsidRPr="00634580">
        <w:rPr>
          <w:rFonts w:ascii="Arial" w:hAnsi="Arial" w:cs="Arial"/>
          <w:i/>
          <w:iCs/>
          <w:sz w:val="24"/>
          <w:szCs w:val="24"/>
        </w:rPr>
        <w:t>Danae Duana Dávila</w:t>
      </w:r>
    </w:p>
    <w:p w14:paraId="7036005B" w14:textId="77777777" w:rsidR="0093626A" w:rsidRPr="00634580" w:rsidRDefault="00000000" w:rsidP="005915A7">
      <w:pPr>
        <w:spacing w:after="0" w:line="360" w:lineRule="auto"/>
        <w:jc w:val="center"/>
        <w:rPr>
          <w:rFonts w:ascii="Arial" w:hAnsi="Arial" w:cs="Arial"/>
          <w:i/>
          <w:iCs/>
          <w:sz w:val="24"/>
          <w:szCs w:val="24"/>
        </w:rPr>
      </w:pPr>
      <w:r w:rsidRPr="00634580">
        <w:rPr>
          <w:rFonts w:ascii="Arial" w:hAnsi="Arial" w:cs="Arial"/>
          <w:i/>
          <w:iCs/>
          <w:sz w:val="24"/>
          <w:szCs w:val="24"/>
        </w:rPr>
        <w:t>María Dolores Martínez García</w:t>
      </w:r>
    </w:p>
    <w:p w14:paraId="62B88F7A" w14:textId="77777777" w:rsidR="0093626A" w:rsidRDefault="0093626A" w:rsidP="005915A7">
      <w:pPr>
        <w:spacing w:after="0" w:line="360" w:lineRule="auto"/>
        <w:rPr>
          <w:rFonts w:ascii="Arial" w:hAnsi="Arial" w:cs="Arial"/>
          <w:b/>
          <w:bCs/>
          <w:sz w:val="24"/>
          <w:szCs w:val="24"/>
        </w:rPr>
      </w:pPr>
    </w:p>
    <w:p w14:paraId="5D65353A" w14:textId="77777777" w:rsidR="0093626A" w:rsidRDefault="00000000" w:rsidP="005915A7">
      <w:pPr>
        <w:spacing w:after="0" w:line="360" w:lineRule="auto"/>
        <w:rPr>
          <w:rFonts w:ascii="Arial" w:hAnsi="Arial" w:cs="Arial"/>
          <w:b/>
          <w:bCs/>
          <w:sz w:val="24"/>
          <w:szCs w:val="24"/>
        </w:rPr>
      </w:pPr>
      <w:r>
        <w:rPr>
          <w:rFonts w:ascii="Arial" w:hAnsi="Arial" w:cs="Arial"/>
          <w:b/>
          <w:bCs/>
          <w:sz w:val="24"/>
          <w:szCs w:val="24"/>
        </w:rPr>
        <w:t>Resumen</w:t>
      </w:r>
    </w:p>
    <w:p w14:paraId="0EB7E038" w14:textId="77777777" w:rsidR="0093626A" w:rsidRDefault="00000000" w:rsidP="005915A7">
      <w:pPr>
        <w:spacing w:after="0" w:line="360" w:lineRule="auto"/>
        <w:jc w:val="both"/>
        <w:rPr>
          <w:rFonts w:ascii="Arial" w:hAnsi="Arial" w:cs="Arial"/>
          <w:sz w:val="24"/>
          <w:szCs w:val="24"/>
        </w:rPr>
      </w:pPr>
      <w:r>
        <w:rPr>
          <w:rFonts w:ascii="Arial" w:hAnsi="Arial" w:cs="Arial"/>
          <w:sz w:val="24"/>
          <w:szCs w:val="24"/>
        </w:rPr>
        <w:t>Los nuevos grupos de consumidores han demostrado mayor interés en las acciones de responsabilidad social y sostenibilidad de su entorno. El objetivo del escrito se basa en identificar las variables que inciden en el consumo socialmente responsable analizados desde la Teoría de la Conducta Planeada de la que parten tres hipótesis que buscan comprobar la influencia de la actitud, las normas subjetivas y el comportamiento percibido de control en la intención de compra consciente por parte del consumidor. Los lineamientos metodológicos del trabajo se sostienen en un enfoque cuantitativo, con diseño transversal y de tipo descriptivo ex post facto, a través de una encuesta a 125 individuos entre 20 y 30 años.  Para alcanzar el objetivo se utilizaron ecuaciones estructurales cuyo factor de decisión se basa en diferentes indicadores que demostraron la viabilidad del instrumento para el fin requerido. Dos de las tres hipótesis fueron soportadas con valores estadísticos de t por arriba de 1.96 y p-value inferiores a 0.05; con ello, se puede afirmar la actitud de los individuos y las normas subjetivas poseen un efecto significativo sobre el consumo socialmente responsable del grupo etario selecto. Los resultados contribuyen a generar conocimiento valioso para los tomadores de decisiones en las empresas.</w:t>
      </w:r>
    </w:p>
    <w:p w14:paraId="3F217845" w14:textId="77777777" w:rsidR="0093626A" w:rsidRDefault="0093626A" w:rsidP="005915A7">
      <w:pPr>
        <w:spacing w:after="0" w:line="360" w:lineRule="auto"/>
        <w:jc w:val="both"/>
        <w:rPr>
          <w:rFonts w:ascii="Arial" w:hAnsi="Arial" w:cs="Arial"/>
          <w:sz w:val="24"/>
          <w:szCs w:val="24"/>
        </w:rPr>
      </w:pPr>
    </w:p>
    <w:p w14:paraId="020FC430" w14:textId="77777777" w:rsidR="0093626A" w:rsidRPr="00634580" w:rsidRDefault="00000000" w:rsidP="005915A7">
      <w:pPr>
        <w:spacing w:after="0" w:line="360" w:lineRule="auto"/>
        <w:jc w:val="both"/>
        <w:rPr>
          <w:rFonts w:ascii="Arial" w:hAnsi="Arial"/>
          <w:b/>
          <w:bCs/>
          <w:sz w:val="24"/>
          <w:szCs w:val="24"/>
        </w:rPr>
      </w:pPr>
      <w:r w:rsidRPr="00634580">
        <w:rPr>
          <w:rFonts w:ascii="Arial" w:hAnsi="Arial"/>
          <w:b/>
          <w:bCs/>
          <w:sz w:val="24"/>
          <w:szCs w:val="24"/>
        </w:rPr>
        <w:t>Abstract</w:t>
      </w:r>
    </w:p>
    <w:p w14:paraId="31E6261A" w14:textId="77777777" w:rsidR="0093626A" w:rsidRDefault="00000000" w:rsidP="005915A7">
      <w:pPr>
        <w:spacing w:after="0" w:line="360" w:lineRule="auto"/>
        <w:jc w:val="both"/>
        <w:rPr>
          <w:rFonts w:ascii="Arial" w:hAnsi="Arial" w:cs="Arial"/>
          <w:sz w:val="24"/>
          <w:szCs w:val="24"/>
        </w:rPr>
      </w:pPr>
      <w:r>
        <w:rPr>
          <w:rFonts w:ascii="Arial" w:hAnsi="Arial"/>
          <w:sz w:val="24"/>
          <w:szCs w:val="24"/>
        </w:rPr>
        <w:t xml:space="preserve">New consumer groups have demonstrated greater interest in social responsibility and environmental sustainability initiatives. This paper aims to identify the variables </w:t>
      </w:r>
      <w:r>
        <w:rPr>
          <w:rFonts w:ascii="Arial" w:hAnsi="Arial"/>
          <w:sz w:val="24"/>
          <w:szCs w:val="24"/>
        </w:rPr>
        <w:lastRenderedPageBreak/>
        <w:t>that influence socially responsible consumption, analyzed from the perspective of Planned Behavior Theory. Three hypotheses are formulated to test the influence of attitude, subjective norms, and perceived behavioral control on consumers' conscious purchase intentions. The methodological approach is quantitative, with a cross-sectional, descriptive, ex post facto design, using a survey of 125 individuals between 20 and 30 years old. Structural equation modeling was used to achieve the objective, with the decision factor based on various indicators that demonstrated the instrument's viability for the intended purpose. Two of the three hypotheses were supported by statistical t-values ​​above 1.96 and p-values below 0.05; This suggests that individual attitudes and subjective norms have a significant effect on the socially responsible consumption of this select age group. The results contribute to generating valuable knowledge for decision-makers in companies.</w:t>
      </w:r>
    </w:p>
    <w:p w14:paraId="655083EB" w14:textId="77777777" w:rsidR="0093626A" w:rsidRDefault="0093626A" w:rsidP="005915A7">
      <w:pPr>
        <w:spacing w:after="0" w:line="360" w:lineRule="auto"/>
        <w:jc w:val="both"/>
        <w:rPr>
          <w:rFonts w:ascii="Arial" w:hAnsi="Arial" w:cs="Arial"/>
          <w:sz w:val="24"/>
          <w:szCs w:val="24"/>
        </w:rPr>
      </w:pPr>
    </w:p>
    <w:p w14:paraId="5CE1C25C" w14:textId="77777777" w:rsidR="0093626A" w:rsidRDefault="00000000" w:rsidP="005915A7">
      <w:pPr>
        <w:spacing w:after="0" w:line="360" w:lineRule="auto"/>
        <w:rPr>
          <w:rFonts w:ascii="Arial" w:hAnsi="Arial" w:cs="Arial"/>
          <w:b/>
          <w:bCs/>
          <w:sz w:val="24"/>
          <w:szCs w:val="24"/>
        </w:rPr>
      </w:pPr>
      <w:r>
        <w:rPr>
          <w:rFonts w:ascii="Arial" w:hAnsi="Arial" w:cs="Arial"/>
          <w:b/>
          <w:bCs/>
          <w:sz w:val="24"/>
          <w:szCs w:val="24"/>
        </w:rPr>
        <w:t>Introducción</w:t>
      </w:r>
    </w:p>
    <w:p w14:paraId="5BEA2427" w14:textId="77777777" w:rsidR="0093626A" w:rsidRDefault="00000000" w:rsidP="005915A7">
      <w:pPr>
        <w:spacing w:after="0" w:line="360" w:lineRule="auto"/>
        <w:jc w:val="both"/>
        <w:rPr>
          <w:rFonts w:ascii="Arial" w:hAnsi="Arial" w:cs="Arial"/>
          <w:sz w:val="24"/>
          <w:szCs w:val="24"/>
        </w:rPr>
      </w:pPr>
      <w:r>
        <w:rPr>
          <w:rFonts w:ascii="Arial" w:hAnsi="Arial" w:cs="Arial"/>
          <w:sz w:val="24"/>
          <w:szCs w:val="24"/>
        </w:rPr>
        <w:t xml:space="preserve">Las nuevas generaciones de consumidores se muestran interesados, más que otras, en las acciones de responsabilidad social y sostenibilidad. La tendencia a considerar los compromisos de la triple bottom line (TBL): sociales, ambientales y económicos de las empresas por parte de la demanda está incrementando, según señala Pascual et al. (2015). </w:t>
      </w:r>
    </w:p>
    <w:p w14:paraId="4079D91D" w14:textId="77777777" w:rsidR="0093626A" w:rsidRDefault="0093626A" w:rsidP="00634580">
      <w:pPr>
        <w:spacing w:after="0" w:line="360" w:lineRule="auto"/>
        <w:ind w:firstLine="708"/>
        <w:jc w:val="both"/>
        <w:rPr>
          <w:rFonts w:ascii="Arial" w:hAnsi="Arial" w:cs="Arial"/>
          <w:sz w:val="24"/>
          <w:szCs w:val="24"/>
        </w:rPr>
      </w:pPr>
    </w:p>
    <w:p w14:paraId="1D8B0B6C" w14:textId="77777777" w:rsidR="0093626A" w:rsidRDefault="00000000" w:rsidP="00634580">
      <w:pPr>
        <w:spacing w:after="0" w:line="360" w:lineRule="auto"/>
        <w:ind w:firstLine="708"/>
        <w:jc w:val="both"/>
        <w:rPr>
          <w:rFonts w:ascii="Arial" w:hAnsi="Arial" w:cs="Arial"/>
          <w:sz w:val="24"/>
          <w:szCs w:val="24"/>
        </w:rPr>
      </w:pPr>
      <w:r>
        <w:rPr>
          <w:rFonts w:ascii="Arial" w:hAnsi="Arial" w:cs="Arial"/>
          <w:sz w:val="24"/>
          <w:szCs w:val="24"/>
        </w:rPr>
        <w:t>Vinculado a la sostenibilidad, el consumo socialmente responsable (CSR) ha pasado de estar asociado únicamente al cuidado del medio ambiente a incluir aspectos como la preocupación por conocer el origen de los insumos, los procesos de elaboración y manufactura de los productos, las relaciones laborales y derechos humanos al interior y exterior de las unidades de negocios, así como a la toma de consciencia de la responsabilidad que tiene el consumidor (Mejia-Giraldo y Arango-Román, 2023).</w:t>
      </w:r>
    </w:p>
    <w:p w14:paraId="7A41F88F" w14:textId="77777777" w:rsidR="0093626A" w:rsidRDefault="0093626A" w:rsidP="005915A7">
      <w:pPr>
        <w:spacing w:after="0" w:line="360" w:lineRule="auto"/>
        <w:jc w:val="both"/>
        <w:rPr>
          <w:rFonts w:ascii="Arial" w:hAnsi="Arial" w:cs="Arial"/>
          <w:sz w:val="24"/>
          <w:szCs w:val="24"/>
        </w:rPr>
      </w:pPr>
    </w:p>
    <w:p w14:paraId="4FE98D58" w14:textId="77777777" w:rsidR="0093626A" w:rsidRDefault="00000000" w:rsidP="00634580">
      <w:pPr>
        <w:spacing w:after="0" w:line="360" w:lineRule="auto"/>
        <w:ind w:firstLine="708"/>
        <w:jc w:val="both"/>
        <w:rPr>
          <w:rFonts w:ascii="Arial" w:hAnsi="Arial" w:cs="Arial"/>
          <w:sz w:val="24"/>
          <w:szCs w:val="24"/>
        </w:rPr>
      </w:pPr>
      <w:r>
        <w:rPr>
          <w:rFonts w:ascii="Arial" w:hAnsi="Arial" w:cs="Arial"/>
          <w:sz w:val="24"/>
          <w:szCs w:val="24"/>
        </w:rPr>
        <w:t xml:space="preserve">Cristancho (2023, p. 133) señala que el consumo socialmente responsable se encuentra estrechamente relacionado a “las características de cada población, el grado de conciencia propia y el impacto que este consumo logre generar, así </w:t>
      </w:r>
      <w:r>
        <w:rPr>
          <w:rFonts w:ascii="Arial" w:hAnsi="Arial" w:cs="Arial"/>
          <w:sz w:val="24"/>
          <w:szCs w:val="24"/>
        </w:rPr>
        <w:lastRenderedPageBreak/>
        <w:t>como también obliga a que se adopte una política de responsabilidad empresarial, permitiendo crear estrategias dentro de las organizaciones”. A esto se suma Sánchez y Loyola (2021) quienes indican que las personas tienen diferentes influencias en su comportamiento y destacan que los criterios etarios de los sujetos es uno de los factores de mayor peso al coincidir con otros en experiencia de vida y hasta en valores.</w:t>
      </w:r>
    </w:p>
    <w:p w14:paraId="4DE04B80" w14:textId="77777777" w:rsidR="0093626A" w:rsidRDefault="0093626A" w:rsidP="00634580">
      <w:pPr>
        <w:spacing w:after="0" w:line="360" w:lineRule="auto"/>
        <w:ind w:firstLine="708"/>
        <w:jc w:val="both"/>
        <w:rPr>
          <w:rFonts w:ascii="Arial" w:hAnsi="Arial" w:cs="Arial"/>
          <w:sz w:val="24"/>
          <w:szCs w:val="24"/>
        </w:rPr>
      </w:pPr>
    </w:p>
    <w:p w14:paraId="30BD41DF" w14:textId="77777777" w:rsidR="0093626A" w:rsidRDefault="00000000" w:rsidP="00634580">
      <w:pPr>
        <w:spacing w:after="0" w:line="360" w:lineRule="auto"/>
        <w:ind w:firstLine="708"/>
        <w:jc w:val="both"/>
        <w:rPr>
          <w:rFonts w:ascii="Arial" w:hAnsi="Arial" w:cs="Arial"/>
          <w:sz w:val="24"/>
          <w:szCs w:val="24"/>
        </w:rPr>
      </w:pPr>
      <w:r>
        <w:rPr>
          <w:rFonts w:ascii="Arial" w:hAnsi="Arial" w:cs="Arial"/>
          <w:sz w:val="24"/>
          <w:szCs w:val="24"/>
        </w:rPr>
        <w:t xml:space="preserve">Uribe-Macías et al. (2018) sostienen que una empresa sostenible y socialmente responsable está enfocada en generar valor económico, ambiental y social consciente de que sus decisiones y acciones deben verse reflejados en el progreso y mejora en la calidad de vida de las generaciones presentes y futuras. </w:t>
      </w:r>
    </w:p>
    <w:p w14:paraId="6794CFB7" w14:textId="77777777" w:rsidR="0093626A" w:rsidRDefault="00000000" w:rsidP="005915A7">
      <w:pPr>
        <w:spacing w:after="0" w:line="360" w:lineRule="auto"/>
        <w:jc w:val="both"/>
        <w:rPr>
          <w:rFonts w:ascii="Arial" w:hAnsi="Arial" w:cs="Arial"/>
          <w:sz w:val="24"/>
          <w:szCs w:val="24"/>
        </w:rPr>
      </w:pPr>
      <w:r>
        <w:rPr>
          <w:rFonts w:ascii="Arial" w:hAnsi="Arial" w:cs="Arial"/>
          <w:sz w:val="24"/>
          <w:szCs w:val="24"/>
        </w:rPr>
        <w:t>En este orden de ideas, el objetivo del trabajo es identificar las variables que inciden en el consumo socialmente responsable analizados desde la Teoría de la Conducta Planeada (TCP). Los resultados podrían ser una contribución que puede generar conocimiento valioso para los tomadores de decisiones en las unidades de negocio.</w:t>
      </w:r>
    </w:p>
    <w:p w14:paraId="52F1992A" w14:textId="77777777" w:rsidR="0093626A" w:rsidRDefault="0093626A" w:rsidP="005915A7">
      <w:pPr>
        <w:spacing w:after="0" w:line="360" w:lineRule="auto"/>
        <w:jc w:val="both"/>
        <w:rPr>
          <w:rFonts w:ascii="Arial" w:hAnsi="Arial" w:cs="Arial"/>
          <w:b/>
          <w:bCs/>
          <w:sz w:val="24"/>
          <w:szCs w:val="24"/>
        </w:rPr>
      </w:pPr>
    </w:p>
    <w:p w14:paraId="198DB980" w14:textId="77777777" w:rsidR="0093626A" w:rsidRDefault="00000000" w:rsidP="005915A7">
      <w:pPr>
        <w:spacing w:after="0" w:line="360" w:lineRule="auto"/>
        <w:jc w:val="both"/>
        <w:rPr>
          <w:rFonts w:ascii="Arial" w:hAnsi="Arial" w:cs="Arial"/>
          <w:b/>
          <w:bCs/>
          <w:sz w:val="24"/>
          <w:szCs w:val="24"/>
        </w:rPr>
      </w:pPr>
      <w:r>
        <w:rPr>
          <w:rFonts w:ascii="Arial" w:hAnsi="Arial" w:cs="Arial"/>
          <w:b/>
          <w:bCs/>
          <w:sz w:val="24"/>
          <w:szCs w:val="24"/>
        </w:rPr>
        <w:t xml:space="preserve">Teoría del comportamiento planificado </w:t>
      </w:r>
    </w:p>
    <w:p w14:paraId="6D1223C9" w14:textId="77777777" w:rsidR="0093626A" w:rsidRDefault="00000000" w:rsidP="005915A7">
      <w:pPr>
        <w:spacing w:after="0" w:line="360" w:lineRule="auto"/>
        <w:jc w:val="both"/>
        <w:rPr>
          <w:rFonts w:ascii="Arial" w:hAnsi="Arial" w:cs="Arial"/>
          <w:sz w:val="24"/>
          <w:szCs w:val="24"/>
        </w:rPr>
      </w:pPr>
      <w:r>
        <w:rPr>
          <w:rFonts w:ascii="Arial" w:hAnsi="Arial" w:cs="Arial"/>
          <w:sz w:val="24"/>
          <w:szCs w:val="24"/>
        </w:rPr>
        <w:t xml:space="preserve">La teoría del comportamiento planificado (TCP) fue propuesta en 1985 por Ajzen quien manifiesta que la conducta social se manifiesta por el sujeto de manera previa </w:t>
      </w:r>
      <w:bookmarkStart w:id="21" w:name="_Hlk143966506"/>
      <w:r>
        <w:rPr>
          <w:rFonts w:ascii="Arial" w:hAnsi="Arial" w:cs="Arial"/>
          <w:sz w:val="24"/>
          <w:szCs w:val="24"/>
        </w:rPr>
        <w:t xml:space="preserve">(Reyes-González y Martín-García, 2016). </w:t>
      </w:r>
      <w:bookmarkEnd w:id="21"/>
      <w:r>
        <w:rPr>
          <w:rFonts w:ascii="Arial" w:hAnsi="Arial" w:cs="Arial"/>
          <w:sz w:val="24"/>
          <w:szCs w:val="24"/>
        </w:rPr>
        <w:t>En palabras de Regalado et al. (2017, p. 144) esta teoría “busca predecir una determinada conducta considerando tanto factores internos como externos al individuo, los cuales posibilitan, contextualizan y constriñen la acción”. De acuerdo a la TCP, la intención de los individuos está sujeta a tres factores (Figura 1).</w:t>
      </w:r>
    </w:p>
    <w:p w14:paraId="6BF3D060" w14:textId="77777777" w:rsidR="0093626A" w:rsidRDefault="00000000" w:rsidP="005915A7">
      <w:pPr>
        <w:spacing w:after="0" w:line="360" w:lineRule="auto"/>
        <w:jc w:val="both"/>
        <w:rPr>
          <w:rFonts w:ascii="Arial" w:hAnsi="Arial" w:cs="Arial"/>
          <w:sz w:val="24"/>
          <w:szCs w:val="24"/>
        </w:rPr>
      </w:pPr>
      <w:r>
        <w:rPr>
          <w:rFonts w:ascii="Arial" w:hAnsi="Arial" w:cs="Arial"/>
          <w:sz w:val="24"/>
          <w:szCs w:val="24"/>
        </w:rPr>
        <w:t>Figura 1. Factores de la TCP</w:t>
      </w:r>
    </w:p>
    <w:p w14:paraId="038DE48C" w14:textId="77777777" w:rsidR="0093626A" w:rsidRDefault="00000000" w:rsidP="005915A7">
      <w:pPr>
        <w:spacing w:after="0" w:line="360" w:lineRule="auto"/>
        <w:jc w:val="both"/>
        <w:rPr>
          <w:rFonts w:ascii="Arial" w:hAnsi="Arial" w:cs="Arial"/>
          <w:sz w:val="24"/>
          <w:szCs w:val="24"/>
        </w:rPr>
      </w:pPr>
      <w:r>
        <w:rPr>
          <w:rFonts w:ascii="Arial" w:hAnsi="Arial" w:cs="Arial"/>
          <w:noProof/>
          <w:sz w:val="24"/>
          <w:szCs w:val="24"/>
        </w:rPr>
        <w:lastRenderedPageBreak/>
        <w:drawing>
          <wp:inline distT="0" distB="0" distL="0" distR="0" wp14:anchorId="5D2CEE22" wp14:editId="1FB883FE">
            <wp:extent cx="5486400" cy="5528945"/>
            <wp:effectExtent l="0" t="19050" r="19050" b="14605"/>
            <wp:docPr id="77155595"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75857119" w14:textId="77777777" w:rsidR="0093626A" w:rsidRDefault="00000000" w:rsidP="005915A7">
      <w:pPr>
        <w:spacing w:after="0" w:line="360" w:lineRule="auto"/>
        <w:rPr>
          <w:rFonts w:ascii="Arial" w:hAnsi="Arial" w:cs="Arial"/>
          <w:sz w:val="20"/>
          <w:szCs w:val="20"/>
        </w:rPr>
      </w:pPr>
      <w:r w:rsidRPr="00634580">
        <w:rPr>
          <w:rFonts w:ascii="Arial" w:hAnsi="Arial" w:cs="Arial"/>
          <w:sz w:val="20"/>
          <w:szCs w:val="20"/>
        </w:rPr>
        <w:t>Fuente: elaboración propia con información de Cristancho (2023) y Regalado et al. (2017) y Goyzueta (2021).</w:t>
      </w:r>
    </w:p>
    <w:p w14:paraId="1B50CCA9" w14:textId="77777777" w:rsidR="0093626A" w:rsidRPr="00634580" w:rsidRDefault="0093626A" w:rsidP="005915A7">
      <w:pPr>
        <w:spacing w:after="0" w:line="360" w:lineRule="auto"/>
        <w:rPr>
          <w:rFonts w:ascii="Arial" w:hAnsi="Arial" w:cs="Arial"/>
          <w:sz w:val="20"/>
          <w:szCs w:val="20"/>
        </w:rPr>
      </w:pPr>
    </w:p>
    <w:p w14:paraId="05C83D8C" w14:textId="77777777" w:rsidR="0093626A" w:rsidRDefault="00000000" w:rsidP="005915A7">
      <w:pPr>
        <w:spacing w:after="0" w:line="360" w:lineRule="auto"/>
        <w:jc w:val="both"/>
        <w:rPr>
          <w:rFonts w:ascii="Arial" w:hAnsi="Arial" w:cs="Arial"/>
          <w:sz w:val="24"/>
          <w:szCs w:val="24"/>
        </w:rPr>
      </w:pPr>
      <w:r>
        <w:rPr>
          <w:rFonts w:ascii="Arial" w:hAnsi="Arial" w:cs="Arial"/>
          <w:sz w:val="24"/>
          <w:szCs w:val="24"/>
        </w:rPr>
        <w:t>Desde la óptica de Reyes-González y Martín-García (2016, p. 296) “Si un individuo cree que tiene las habilidades, que tiene oportunidades y si cree que hay pocos obstáculos que impidan realizar una acción tendrá mayor percepción de control sobre la conducta”</w:t>
      </w:r>
    </w:p>
    <w:p w14:paraId="0D490766" w14:textId="77777777" w:rsidR="0028464D" w:rsidRDefault="0028464D" w:rsidP="005915A7">
      <w:pPr>
        <w:spacing w:after="0" w:line="360" w:lineRule="auto"/>
        <w:jc w:val="both"/>
        <w:rPr>
          <w:rFonts w:ascii="Arial" w:hAnsi="Arial" w:cs="Arial"/>
          <w:sz w:val="24"/>
          <w:szCs w:val="24"/>
        </w:rPr>
      </w:pPr>
    </w:p>
    <w:p w14:paraId="2A546D83" w14:textId="77777777" w:rsidR="0028464D" w:rsidRDefault="0028464D" w:rsidP="005915A7">
      <w:pPr>
        <w:spacing w:after="0" w:line="360" w:lineRule="auto"/>
        <w:jc w:val="both"/>
        <w:rPr>
          <w:rFonts w:ascii="Arial" w:hAnsi="Arial" w:cs="Arial"/>
          <w:sz w:val="24"/>
          <w:szCs w:val="24"/>
        </w:rPr>
      </w:pPr>
    </w:p>
    <w:p w14:paraId="3BD4861A" w14:textId="77777777" w:rsidR="0028464D" w:rsidRDefault="0028464D" w:rsidP="005915A7">
      <w:pPr>
        <w:spacing w:after="0" w:line="360" w:lineRule="auto"/>
        <w:jc w:val="both"/>
        <w:rPr>
          <w:rFonts w:ascii="Arial" w:hAnsi="Arial" w:cs="Arial"/>
          <w:sz w:val="24"/>
          <w:szCs w:val="24"/>
        </w:rPr>
      </w:pPr>
    </w:p>
    <w:p w14:paraId="6DEDE8A4" w14:textId="77777777" w:rsidR="0093626A" w:rsidRDefault="00000000" w:rsidP="005915A7">
      <w:pPr>
        <w:spacing w:after="0" w:line="360" w:lineRule="auto"/>
        <w:rPr>
          <w:rFonts w:ascii="Arial" w:hAnsi="Arial" w:cs="Arial"/>
          <w:b/>
          <w:bCs/>
          <w:sz w:val="24"/>
          <w:szCs w:val="24"/>
        </w:rPr>
      </w:pPr>
      <w:r>
        <w:rPr>
          <w:rFonts w:ascii="Arial" w:hAnsi="Arial" w:cs="Arial"/>
          <w:b/>
          <w:bCs/>
          <w:sz w:val="24"/>
          <w:szCs w:val="24"/>
        </w:rPr>
        <w:lastRenderedPageBreak/>
        <w:t>Metodología</w:t>
      </w:r>
    </w:p>
    <w:p w14:paraId="5B02D20A" w14:textId="77777777" w:rsidR="0093626A" w:rsidRDefault="00000000" w:rsidP="005915A7">
      <w:pPr>
        <w:spacing w:after="0" w:line="360" w:lineRule="auto"/>
        <w:jc w:val="both"/>
        <w:rPr>
          <w:rFonts w:ascii="Arial" w:hAnsi="Arial" w:cs="Arial"/>
          <w:sz w:val="24"/>
          <w:szCs w:val="24"/>
        </w:rPr>
      </w:pPr>
      <w:r>
        <w:rPr>
          <w:rFonts w:ascii="Arial" w:hAnsi="Arial" w:cs="Arial"/>
          <w:sz w:val="24"/>
          <w:szCs w:val="24"/>
        </w:rPr>
        <w:t>Los lineamientos metodológicos del trabajo se sostienen en un enfoque cuantitativo, con diseño transversal y de tipo descriptivo ex post facto, a través de una encuesta. que busca comprobar las siguientes hipótesis:</w:t>
      </w:r>
    </w:p>
    <w:p w14:paraId="1640AA38" w14:textId="77777777" w:rsidR="0093626A" w:rsidRDefault="00000000" w:rsidP="005915A7">
      <w:pPr>
        <w:spacing w:after="0" w:line="360" w:lineRule="auto"/>
        <w:jc w:val="both"/>
        <w:rPr>
          <w:rFonts w:ascii="Arial" w:hAnsi="Arial" w:cs="Arial"/>
          <w:sz w:val="24"/>
          <w:szCs w:val="24"/>
        </w:rPr>
      </w:pPr>
      <w:r>
        <w:rPr>
          <w:rFonts w:ascii="Arial" w:hAnsi="Arial" w:cs="Arial"/>
          <w:sz w:val="24"/>
          <w:szCs w:val="24"/>
        </w:rPr>
        <w:t xml:space="preserve">H1: La actitud de los individuos hacia el CSR tiene un efecto positivo en la intención de compra de los individuos </w:t>
      </w:r>
    </w:p>
    <w:p w14:paraId="49CEDEFD" w14:textId="77777777" w:rsidR="0093626A" w:rsidRDefault="00000000" w:rsidP="005915A7">
      <w:pPr>
        <w:spacing w:after="0" w:line="360" w:lineRule="auto"/>
        <w:jc w:val="both"/>
        <w:rPr>
          <w:rFonts w:ascii="Arial" w:hAnsi="Arial" w:cs="Arial"/>
          <w:sz w:val="24"/>
          <w:szCs w:val="24"/>
        </w:rPr>
      </w:pPr>
      <w:r>
        <w:rPr>
          <w:rFonts w:ascii="Arial" w:hAnsi="Arial" w:cs="Arial"/>
          <w:sz w:val="24"/>
          <w:szCs w:val="24"/>
        </w:rPr>
        <w:t>H2: La norma subjetiva percibida por los individuos hacia el CSR tiene un efecto positivo en la intención de compra responsable.</w:t>
      </w:r>
    </w:p>
    <w:p w14:paraId="204D760A" w14:textId="77777777" w:rsidR="0093626A" w:rsidRDefault="00000000" w:rsidP="005915A7">
      <w:pPr>
        <w:spacing w:after="0" w:line="360" w:lineRule="auto"/>
        <w:jc w:val="both"/>
        <w:rPr>
          <w:rFonts w:ascii="Arial" w:hAnsi="Arial" w:cs="Arial"/>
          <w:sz w:val="24"/>
          <w:szCs w:val="24"/>
        </w:rPr>
      </w:pPr>
      <w:r>
        <w:rPr>
          <w:rFonts w:ascii="Arial" w:hAnsi="Arial" w:cs="Arial"/>
          <w:sz w:val="24"/>
          <w:szCs w:val="24"/>
        </w:rPr>
        <w:t>H3:  El comportamiento de control percibido tiene un efecto positivo en la intención de compra responsable.</w:t>
      </w:r>
    </w:p>
    <w:p w14:paraId="56B62736" w14:textId="77777777" w:rsidR="0093626A" w:rsidRDefault="0093626A" w:rsidP="005915A7">
      <w:pPr>
        <w:spacing w:after="0" w:line="360" w:lineRule="auto"/>
        <w:jc w:val="both"/>
        <w:rPr>
          <w:rFonts w:ascii="Arial" w:hAnsi="Arial" w:cs="Arial"/>
          <w:b/>
          <w:bCs/>
          <w:sz w:val="24"/>
          <w:szCs w:val="24"/>
        </w:rPr>
      </w:pPr>
    </w:p>
    <w:p w14:paraId="250B2AB2" w14:textId="77777777" w:rsidR="0093626A" w:rsidRDefault="00000000" w:rsidP="005915A7">
      <w:pPr>
        <w:spacing w:after="0" w:line="360" w:lineRule="auto"/>
        <w:jc w:val="both"/>
        <w:rPr>
          <w:rFonts w:ascii="Arial" w:hAnsi="Arial" w:cs="Arial"/>
          <w:b/>
          <w:bCs/>
          <w:sz w:val="24"/>
          <w:szCs w:val="24"/>
        </w:rPr>
      </w:pPr>
      <w:r>
        <w:rPr>
          <w:rFonts w:ascii="Arial" w:hAnsi="Arial" w:cs="Arial"/>
          <w:b/>
          <w:bCs/>
          <w:sz w:val="24"/>
          <w:szCs w:val="24"/>
        </w:rPr>
        <w:t>Muestra</w:t>
      </w:r>
    </w:p>
    <w:p w14:paraId="3871AD9B" w14:textId="77777777" w:rsidR="0093626A" w:rsidRDefault="00000000" w:rsidP="005915A7">
      <w:pPr>
        <w:spacing w:after="0" w:line="360" w:lineRule="auto"/>
        <w:jc w:val="both"/>
        <w:rPr>
          <w:rFonts w:ascii="Arial" w:hAnsi="Arial" w:cs="Arial"/>
          <w:sz w:val="24"/>
          <w:szCs w:val="24"/>
        </w:rPr>
      </w:pPr>
      <w:r>
        <w:rPr>
          <w:rFonts w:ascii="Arial" w:hAnsi="Arial" w:cs="Arial"/>
          <w:sz w:val="24"/>
          <w:szCs w:val="24"/>
        </w:rPr>
        <w:t>La población objetivo estuvo constituida por hombres y mujeres en un rango de edad entre 20 y 30 años (M=23.9; DT=3.44), seleccionados con un método no probabilístico incidental, por ello los integrantes de la muestra fueron contactados entre febrero y marzo de 2023 de manera online. El lugar de estudio fue en el municipio de Amecameca, Estado de México. En total se recolectaron 156 encuestas; sin embargo, 31 de ellas fueron descartadas ya que los sujetos a los que se les hizo llegar no completaron el instrumento de una manera adecuada, quedando una muestra total de 125 (Tabla 1).</w:t>
      </w:r>
    </w:p>
    <w:p w14:paraId="7C1DDCF6" w14:textId="77777777" w:rsidR="0093626A" w:rsidRDefault="0093626A" w:rsidP="005915A7">
      <w:pPr>
        <w:spacing w:after="0" w:line="360" w:lineRule="auto"/>
        <w:jc w:val="both"/>
        <w:rPr>
          <w:rFonts w:ascii="Arial" w:hAnsi="Arial" w:cs="Arial"/>
          <w:sz w:val="24"/>
          <w:szCs w:val="24"/>
        </w:rPr>
      </w:pPr>
    </w:p>
    <w:p w14:paraId="20B2B86A" w14:textId="77777777" w:rsidR="0093626A" w:rsidRDefault="00000000" w:rsidP="005915A7">
      <w:pPr>
        <w:spacing w:after="0" w:line="360" w:lineRule="auto"/>
        <w:jc w:val="both"/>
        <w:rPr>
          <w:rFonts w:ascii="Arial" w:hAnsi="Arial" w:cs="Arial"/>
          <w:sz w:val="24"/>
          <w:szCs w:val="24"/>
        </w:rPr>
      </w:pPr>
      <w:r>
        <w:rPr>
          <w:rFonts w:ascii="Arial" w:hAnsi="Arial" w:cs="Arial"/>
          <w:sz w:val="24"/>
          <w:szCs w:val="24"/>
        </w:rPr>
        <w:t>Tabla 1. Estadísticos descriptivos de la muestra</w:t>
      </w:r>
      <w:r>
        <w:rPr>
          <w:rFonts w:ascii="Arial" w:hAnsi="Arial" w:cs="Arial"/>
          <w:sz w:val="24"/>
          <w:szCs w:val="24"/>
        </w:rPr>
        <w:fldChar w:fldCharType="begin"/>
      </w:r>
      <w:r>
        <w:rPr>
          <w:rFonts w:ascii="Arial" w:hAnsi="Arial" w:cs="Arial"/>
          <w:sz w:val="24"/>
          <w:szCs w:val="24"/>
        </w:rPr>
        <w:instrText xml:space="preserve"> LINK Excel.Sheet.12 "Libro1" "Hoja1!F3C4:F19C7" \a \f 4 \h  \* MERGEFORMAT </w:instrText>
      </w:r>
      <w:r>
        <w:rPr>
          <w:rFonts w:ascii="Arial" w:hAnsi="Arial" w:cs="Arial"/>
          <w:sz w:val="24"/>
          <w:szCs w:val="24"/>
        </w:rPr>
        <w:fldChar w:fldCharType="separate"/>
      </w:r>
    </w:p>
    <w:tbl>
      <w:tblPr>
        <w:tblW w:w="4334" w:type="dxa"/>
        <w:jc w:val="center"/>
        <w:tblCellMar>
          <w:left w:w="70" w:type="dxa"/>
          <w:right w:w="70" w:type="dxa"/>
        </w:tblCellMar>
        <w:tblLook w:val="04A0" w:firstRow="1" w:lastRow="0" w:firstColumn="1" w:lastColumn="0" w:noHBand="0" w:noVBand="1"/>
      </w:tblPr>
      <w:tblGrid>
        <w:gridCol w:w="207"/>
        <w:gridCol w:w="1511"/>
        <w:gridCol w:w="1328"/>
        <w:gridCol w:w="1288"/>
      </w:tblGrid>
      <w:tr w:rsidR="0093626A" w14:paraId="055C95CD" w14:textId="77777777">
        <w:trPr>
          <w:trHeight w:val="300"/>
          <w:jc w:val="center"/>
        </w:trPr>
        <w:tc>
          <w:tcPr>
            <w:tcW w:w="1718" w:type="dxa"/>
            <w:gridSpan w:val="2"/>
            <w:tcBorders>
              <w:top w:val="single" w:sz="4" w:space="0" w:color="auto"/>
              <w:left w:val="nil"/>
              <w:bottom w:val="single" w:sz="4" w:space="0" w:color="auto"/>
              <w:right w:val="nil"/>
            </w:tcBorders>
            <w:noWrap/>
            <w:vAlign w:val="bottom"/>
          </w:tcPr>
          <w:p w14:paraId="0359757B" w14:textId="77777777" w:rsidR="0093626A" w:rsidRDefault="00000000" w:rsidP="005915A7">
            <w:pPr>
              <w:spacing w:after="0" w:line="360" w:lineRule="auto"/>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Variable</w:t>
            </w:r>
          </w:p>
        </w:tc>
        <w:tc>
          <w:tcPr>
            <w:tcW w:w="1328" w:type="dxa"/>
            <w:tcBorders>
              <w:top w:val="single" w:sz="4" w:space="0" w:color="auto"/>
              <w:left w:val="nil"/>
              <w:bottom w:val="single" w:sz="4" w:space="0" w:color="auto"/>
              <w:right w:val="nil"/>
            </w:tcBorders>
            <w:noWrap/>
            <w:vAlign w:val="bottom"/>
          </w:tcPr>
          <w:p w14:paraId="19FCA14A" w14:textId="77777777" w:rsidR="0093626A" w:rsidRDefault="00000000" w:rsidP="005915A7">
            <w:pPr>
              <w:spacing w:after="0" w:line="360" w:lineRule="auto"/>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Frecuencia</w:t>
            </w:r>
          </w:p>
        </w:tc>
        <w:tc>
          <w:tcPr>
            <w:tcW w:w="1288" w:type="dxa"/>
            <w:tcBorders>
              <w:top w:val="single" w:sz="4" w:space="0" w:color="auto"/>
              <w:left w:val="nil"/>
              <w:bottom w:val="single" w:sz="4" w:space="0" w:color="auto"/>
              <w:right w:val="nil"/>
            </w:tcBorders>
            <w:noWrap/>
            <w:vAlign w:val="bottom"/>
          </w:tcPr>
          <w:p w14:paraId="0BC450CE" w14:textId="77777777" w:rsidR="0093626A" w:rsidRDefault="00000000" w:rsidP="005915A7">
            <w:pPr>
              <w:spacing w:after="0" w:line="360" w:lineRule="auto"/>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Porcentaje</w:t>
            </w:r>
          </w:p>
        </w:tc>
      </w:tr>
      <w:tr w:rsidR="0093626A" w14:paraId="65568363" w14:textId="77777777">
        <w:trPr>
          <w:trHeight w:val="300"/>
          <w:jc w:val="center"/>
        </w:trPr>
        <w:tc>
          <w:tcPr>
            <w:tcW w:w="1718" w:type="dxa"/>
            <w:gridSpan w:val="2"/>
            <w:tcBorders>
              <w:top w:val="nil"/>
              <w:left w:val="nil"/>
              <w:bottom w:val="nil"/>
              <w:right w:val="nil"/>
            </w:tcBorders>
            <w:noWrap/>
            <w:vAlign w:val="bottom"/>
          </w:tcPr>
          <w:p w14:paraId="4BEB9E55" w14:textId="77777777" w:rsidR="0093626A" w:rsidRDefault="00000000" w:rsidP="005915A7">
            <w:pPr>
              <w:spacing w:after="0" w:line="360" w:lineRule="auto"/>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Sexo</w:t>
            </w:r>
          </w:p>
        </w:tc>
        <w:tc>
          <w:tcPr>
            <w:tcW w:w="1328" w:type="dxa"/>
            <w:tcBorders>
              <w:top w:val="nil"/>
              <w:left w:val="nil"/>
              <w:bottom w:val="nil"/>
              <w:right w:val="nil"/>
            </w:tcBorders>
            <w:noWrap/>
            <w:vAlign w:val="bottom"/>
          </w:tcPr>
          <w:p w14:paraId="2925F9F3" w14:textId="77777777" w:rsidR="0093626A" w:rsidRDefault="0093626A" w:rsidP="005915A7">
            <w:pPr>
              <w:spacing w:after="0" w:line="360" w:lineRule="auto"/>
              <w:rPr>
                <w:rFonts w:ascii="Arial" w:eastAsia="Times New Roman" w:hAnsi="Arial" w:cs="Arial"/>
                <w:color w:val="000000"/>
                <w:kern w:val="0"/>
                <w:sz w:val="24"/>
                <w:szCs w:val="24"/>
                <w:lang w:eastAsia="es-MX"/>
                <w14:ligatures w14:val="none"/>
              </w:rPr>
            </w:pPr>
          </w:p>
        </w:tc>
        <w:tc>
          <w:tcPr>
            <w:tcW w:w="1288" w:type="dxa"/>
            <w:tcBorders>
              <w:top w:val="nil"/>
              <w:left w:val="nil"/>
              <w:bottom w:val="nil"/>
              <w:right w:val="nil"/>
            </w:tcBorders>
            <w:noWrap/>
            <w:vAlign w:val="bottom"/>
          </w:tcPr>
          <w:p w14:paraId="30F2954D" w14:textId="77777777" w:rsidR="0093626A" w:rsidRDefault="0093626A" w:rsidP="005915A7">
            <w:pPr>
              <w:spacing w:after="0" w:line="360" w:lineRule="auto"/>
              <w:rPr>
                <w:rFonts w:ascii="Arial" w:eastAsia="Times New Roman" w:hAnsi="Arial" w:cs="Arial"/>
                <w:kern w:val="0"/>
                <w:sz w:val="24"/>
                <w:szCs w:val="24"/>
                <w:lang w:eastAsia="es-MX"/>
                <w14:ligatures w14:val="none"/>
              </w:rPr>
            </w:pPr>
          </w:p>
        </w:tc>
      </w:tr>
      <w:tr w:rsidR="0093626A" w14:paraId="6DC6B258" w14:textId="77777777">
        <w:trPr>
          <w:trHeight w:val="300"/>
          <w:jc w:val="center"/>
        </w:trPr>
        <w:tc>
          <w:tcPr>
            <w:tcW w:w="207" w:type="dxa"/>
            <w:tcBorders>
              <w:top w:val="nil"/>
              <w:left w:val="nil"/>
              <w:bottom w:val="nil"/>
              <w:right w:val="nil"/>
            </w:tcBorders>
            <w:noWrap/>
            <w:vAlign w:val="bottom"/>
          </w:tcPr>
          <w:p w14:paraId="42FB53B1" w14:textId="77777777" w:rsidR="0093626A" w:rsidRDefault="0093626A" w:rsidP="005915A7">
            <w:pPr>
              <w:spacing w:after="0" w:line="360" w:lineRule="auto"/>
              <w:rPr>
                <w:rFonts w:ascii="Arial" w:eastAsia="Times New Roman" w:hAnsi="Arial" w:cs="Arial"/>
                <w:kern w:val="0"/>
                <w:sz w:val="24"/>
                <w:szCs w:val="24"/>
                <w:lang w:eastAsia="es-MX"/>
                <w14:ligatures w14:val="none"/>
              </w:rPr>
            </w:pPr>
          </w:p>
        </w:tc>
        <w:tc>
          <w:tcPr>
            <w:tcW w:w="1511" w:type="dxa"/>
            <w:tcBorders>
              <w:top w:val="nil"/>
              <w:left w:val="nil"/>
              <w:bottom w:val="nil"/>
              <w:right w:val="nil"/>
            </w:tcBorders>
            <w:noWrap/>
            <w:vAlign w:val="bottom"/>
          </w:tcPr>
          <w:p w14:paraId="3EC68844" w14:textId="77777777" w:rsidR="0093626A" w:rsidRDefault="00000000" w:rsidP="005915A7">
            <w:pPr>
              <w:spacing w:after="0" w:line="360" w:lineRule="auto"/>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Masculino</w:t>
            </w:r>
          </w:p>
        </w:tc>
        <w:tc>
          <w:tcPr>
            <w:tcW w:w="1328" w:type="dxa"/>
            <w:tcBorders>
              <w:top w:val="nil"/>
              <w:left w:val="nil"/>
              <w:bottom w:val="nil"/>
              <w:right w:val="nil"/>
            </w:tcBorders>
            <w:noWrap/>
            <w:vAlign w:val="bottom"/>
          </w:tcPr>
          <w:p w14:paraId="61665FCF" w14:textId="77777777" w:rsidR="0093626A" w:rsidRDefault="00000000" w:rsidP="005915A7">
            <w:pPr>
              <w:spacing w:after="0" w:line="360" w:lineRule="auto"/>
              <w:jc w:val="right"/>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49</w:t>
            </w:r>
          </w:p>
        </w:tc>
        <w:tc>
          <w:tcPr>
            <w:tcW w:w="1288" w:type="dxa"/>
            <w:tcBorders>
              <w:top w:val="nil"/>
              <w:left w:val="nil"/>
              <w:bottom w:val="nil"/>
              <w:right w:val="nil"/>
            </w:tcBorders>
            <w:noWrap/>
            <w:vAlign w:val="bottom"/>
          </w:tcPr>
          <w:p w14:paraId="2F767080" w14:textId="77777777" w:rsidR="0093626A" w:rsidRDefault="00000000" w:rsidP="005915A7">
            <w:pPr>
              <w:spacing w:after="0" w:line="360" w:lineRule="auto"/>
              <w:jc w:val="right"/>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39.2</w:t>
            </w:r>
          </w:p>
        </w:tc>
      </w:tr>
      <w:tr w:rsidR="0093626A" w14:paraId="24C0BA55" w14:textId="77777777">
        <w:trPr>
          <w:trHeight w:val="300"/>
          <w:jc w:val="center"/>
        </w:trPr>
        <w:tc>
          <w:tcPr>
            <w:tcW w:w="207" w:type="dxa"/>
            <w:tcBorders>
              <w:top w:val="nil"/>
              <w:left w:val="nil"/>
              <w:bottom w:val="nil"/>
              <w:right w:val="nil"/>
            </w:tcBorders>
            <w:noWrap/>
            <w:vAlign w:val="bottom"/>
          </w:tcPr>
          <w:p w14:paraId="7AB4BD9F" w14:textId="77777777" w:rsidR="0093626A" w:rsidRDefault="0093626A" w:rsidP="005915A7">
            <w:pPr>
              <w:spacing w:after="0" w:line="360" w:lineRule="auto"/>
              <w:jc w:val="right"/>
              <w:rPr>
                <w:rFonts w:ascii="Arial" w:eastAsia="Times New Roman" w:hAnsi="Arial" w:cs="Arial"/>
                <w:color w:val="000000"/>
                <w:kern w:val="0"/>
                <w:sz w:val="24"/>
                <w:szCs w:val="24"/>
                <w:lang w:eastAsia="es-MX"/>
                <w14:ligatures w14:val="none"/>
              </w:rPr>
            </w:pPr>
          </w:p>
        </w:tc>
        <w:tc>
          <w:tcPr>
            <w:tcW w:w="1511" w:type="dxa"/>
            <w:tcBorders>
              <w:top w:val="nil"/>
              <w:left w:val="nil"/>
              <w:bottom w:val="nil"/>
              <w:right w:val="nil"/>
            </w:tcBorders>
            <w:noWrap/>
            <w:vAlign w:val="bottom"/>
          </w:tcPr>
          <w:p w14:paraId="02DB6D15" w14:textId="77777777" w:rsidR="0093626A" w:rsidRDefault="00000000" w:rsidP="005915A7">
            <w:pPr>
              <w:spacing w:after="0" w:line="360" w:lineRule="auto"/>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Femenino</w:t>
            </w:r>
          </w:p>
        </w:tc>
        <w:tc>
          <w:tcPr>
            <w:tcW w:w="1328" w:type="dxa"/>
            <w:tcBorders>
              <w:top w:val="nil"/>
              <w:left w:val="nil"/>
              <w:bottom w:val="nil"/>
              <w:right w:val="nil"/>
            </w:tcBorders>
            <w:noWrap/>
            <w:vAlign w:val="bottom"/>
          </w:tcPr>
          <w:p w14:paraId="36F47CE5" w14:textId="77777777" w:rsidR="0093626A" w:rsidRDefault="00000000" w:rsidP="005915A7">
            <w:pPr>
              <w:spacing w:after="0" w:line="360" w:lineRule="auto"/>
              <w:jc w:val="right"/>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76</w:t>
            </w:r>
          </w:p>
        </w:tc>
        <w:tc>
          <w:tcPr>
            <w:tcW w:w="1288" w:type="dxa"/>
            <w:tcBorders>
              <w:top w:val="nil"/>
              <w:left w:val="nil"/>
              <w:bottom w:val="nil"/>
              <w:right w:val="nil"/>
            </w:tcBorders>
            <w:noWrap/>
            <w:vAlign w:val="bottom"/>
          </w:tcPr>
          <w:p w14:paraId="5C6834DC" w14:textId="77777777" w:rsidR="0093626A" w:rsidRDefault="00000000" w:rsidP="005915A7">
            <w:pPr>
              <w:spacing w:after="0" w:line="360" w:lineRule="auto"/>
              <w:jc w:val="right"/>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60.8</w:t>
            </w:r>
          </w:p>
        </w:tc>
      </w:tr>
      <w:tr w:rsidR="0093626A" w14:paraId="58D93CC7" w14:textId="77777777">
        <w:trPr>
          <w:trHeight w:val="300"/>
          <w:jc w:val="center"/>
        </w:trPr>
        <w:tc>
          <w:tcPr>
            <w:tcW w:w="3046" w:type="dxa"/>
            <w:gridSpan w:val="3"/>
            <w:tcBorders>
              <w:top w:val="nil"/>
              <w:left w:val="nil"/>
              <w:bottom w:val="nil"/>
              <w:right w:val="nil"/>
            </w:tcBorders>
            <w:noWrap/>
            <w:vAlign w:val="bottom"/>
          </w:tcPr>
          <w:p w14:paraId="10B923A0" w14:textId="77777777" w:rsidR="0093626A" w:rsidRDefault="00000000" w:rsidP="005915A7">
            <w:pPr>
              <w:spacing w:after="0" w:line="360" w:lineRule="auto"/>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¿Es jefe de familia?</w:t>
            </w:r>
          </w:p>
        </w:tc>
        <w:tc>
          <w:tcPr>
            <w:tcW w:w="1288" w:type="dxa"/>
            <w:tcBorders>
              <w:top w:val="nil"/>
              <w:left w:val="nil"/>
              <w:bottom w:val="nil"/>
              <w:right w:val="nil"/>
            </w:tcBorders>
            <w:noWrap/>
            <w:vAlign w:val="bottom"/>
          </w:tcPr>
          <w:p w14:paraId="29987550" w14:textId="77777777" w:rsidR="0093626A" w:rsidRDefault="0093626A" w:rsidP="005915A7">
            <w:pPr>
              <w:spacing w:after="0" w:line="360" w:lineRule="auto"/>
              <w:rPr>
                <w:rFonts w:ascii="Arial" w:eastAsia="Times New Roman" w:hAnsi="Arial" w:cs="Arial"/>
                <w:color w:val="000000"/>
                <w:kern w:val="0"/>
                <w:sz w:val="24"/>
                <w:szCs w:val="24"/>
                <w:lang w:eastAsia="es-MX"/>
                <w14:ligatures w14:val="none"/>
              </w:rPr>
            </w:pPr>
          </w:p>
        </w:tc>
      </w:tr>
      <w:tr w:rsidR="0093626A" w14:paraId="40875DCE" w14:textId="77777777">
        <w:trPr>
          <w:trHeight w:val="300"/>
          <w:jc w:val="center"/>
        </w:trPr>
        <w:tc>
          <w:tcPr>
            <w:tcW w:w="207" w:type="dxa"/>
            <w:tcBorders>
              <w:top w:val="nil"/>
              <w:left w:val="nil"/>
              <w:bottom w:val="nil"/>
              <w:right w:val="nil"/>
            </w:tcBorders>
            <w:noWrap/>
            <w:vAlign w:val="bottom"/>
          </w:tcPr>
          <w:p w14:paraId="20FD7968" w14:textId="77777777" w:rsidR="0093626A" w:rsidRDefault="0093626A" w:rsidP="005915A7">
            <w:pPr>
              <w:spacing w:after="0" w:line="360" w:lineRule="auto"/>
              <w:rPr>
                <w:rFonts w:ascii="Arial" w:eastAsia="Times New Roman" w:hAnsi="Arial" w:cs="Arial"/>
                <w:kern w:val="0"/>
                <w:sz w:val="24"/>
                <w:szCs w:val="24"/>
                <w:lang w:eastAsia="es-MX"/>
                <w14:ligatures w14:val="none"/>
              </w:rPr>
            </w:pPr>
          </w:p>
        </w:tc>
        <w:tc>
          <w:tcPr>
            <w:tcW w:w="1511" w:type="dxa"/>
            <w:tcBorders>
              <w:top w:val="nil"/>
              <w:left w:val="nil"/>
              <w:bottom w:val="nil"/>
              <w:right w:val="nil"/>
            </w:tcBorders>
            <w:noWrap/>
            <w:vAlign w:val="bottom"/>
          </w:tcPr>
          <w:p w14:paraId="37275FD3" w14:textId="77777777" w:rsidR="0093626A" w:rsidRDefault="00000000" w:rsidP="005915A7">
            <w:pPr>
              <w:spacing w:after="0" w:line="360" w:lineRule="auto"/>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No</w:t>
            </w:r>
          </w:p>
        </w:tc>
        <w:tc>
          <w:tcPr>
            <w:tcW w:w="1328" w:type="dxa"/>
            <w:tcBorders>
              <w:top w:val="nil"/>
              <w:left w:val="nil"/>
              <w:bottom w:val="nil"/>
              <w:right w:val="nil"/>
            </w:tcBorders>
            <w:noWrap/>
            <w:vAlign w:val="bottom"/>
          </w:tcPr>
          <w:p w14:paraId="7C9401B5" w14:textId="77777777" w:rsidR="0093626A" w:rsidRDefault="00000000" w:rsidP="005915A7">
            <w:pPr>
              <w:spacing w:after="0" w:line="360" w:lineRule="auto"/>
              <w:jc w:val="right"/>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93</w:t>
            </w:r>
          </w:p>
        </w:tc>
        <w:tc>
          <w:tcPr>
            <w:tcW w:w="1288" w:type="dxa"/>
            <w:tcBorders>
              <w:top w:val="nil"/>
              <w:left w:val="nil"/>
              <w:bottom w:val="nil"/>
              <w:right w:val="nil"/>
            </w:tcBorders>
            <w:noWrap/>
            <w:vAlign w:val="bottom"/>
          </w:tcPr>
          <w:p w14:paraId="551277B6" w14:textId="77777777" w:rsidR="0093626A" w:rsidRDefault="00000000" w:rsidP="005915A7">
            <w:pPr>
              <w:spacing w:after="0" w:line="360" w:lineRule="auto"/>
              <w:jc w:val="right"/>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74.4</w:t>
            </w:r>
          </w:p>
        </w:tc>
      </w:tr>
      <w:tr w:rsidR="0093626A" w14:paraId="4830C402" w14:textId="77777777">
        <w:trPr>
          <w:trHeight w:val="300"/>
          <w:jc w:val="center"/>
        </w:trPr>
        <w:tc>
          <w:tcPr>
            <w:tcW w:w="207" w:type="dxa"/>
            <w:tcBorders>
              <w:top w:val="nil"/>
              <w:left w:val="nil"/>
              <w:bottom w:val="nil"/>
              <w:right w:val="nil"/>
            </w:tcBorders>
            <w:noWrap/>
            <w:vAlign w:val="bottom"/>
          </w:tcPr>
          <w:p w14:paraId="242675C3" w14:textId="77777777" w:rsidR="0093626A" w:rsidRDefault="0093626A" w:rsidP="005915A7">
            <w:pPr>
              <w:spacing w:after="0" w:line="360" w:lineRule="auto"/>
              <w:jc w:val="right"/>
              <w:rPr>
                <w:rFonts w:ascii="Arial" w:eastAsia="Times New Roman" w:hAnsi="Arial" w:cs="Arial"/>
                <w:color w:val="000000"/>
                <w:kern w:val="0"/>
                <w:sz w:val="24"/>
                <w:szCs w:val="24"/>
                <w:lang w:eastAsia="es-MX"/>
                <w14:ligatures w14:val="none"/>
              </w:rPr>
            </w:pPr>
          </w:p>
        </w:tc>
        <w:tc>
          <w:tcPr>
            <w:tcW w:w="1511" w:type="dxa"/>
            <w:tcBorders>
              <w:top w:val="nil"/>
              <w:left w:val="nil"/>
              <w:bottom w:val="nil"/>
              <w:right w:val="nil"/>
            </w:tcBorders>
            <w:noWrap/>
            <w:vAlign w:val="bottom"/>
          </w:tcPr>
          <w:p w14:paraId="72809014" w14:textId="77777777" w:rsidR="0093626A" w:rsidRDefault="00000000" w:rsidP="005915A7">
            <w:pPr>
              <w:spacing w:after="0" w:line="360" w:lineRule="auto"/>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Si</w:t>
            </w:r>
          </w:p>
        </w:tc>
        <w:tc>
          <w:tcPr>
            <w:tcW w:w="1328" w:type="dxa"/>
            <w:tcBorders>
              <w:top w:val="nil"/>
              <w:left w:val="nil"/>
              <w:bottom w:val="nil"/>
              <w:right w:val="nil"/>
            </w:tcBorders>
            <w:noWrap/>
            <w:vAlign w:val="bottom"/>
          </w:tcPr>
          <w:p w14:paraId="49245217" w14:textId="77777777" w:rsidR="0093626A" w:rsidRDefault="00000000" w:rsidP="005915A7">
            <w:pPr>
              <w:spacing w:after="0" w:line="360" w:lineRule="auto"/>
              <w:jc w:val="right"/>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32</w:t>
            </w:r>
          </w:p>
        </w:tc>
        <w:tc>
          <w:tcPr>
            <w:tcW w:w="1288" w:type="dxa"/>
            <w:tcBorders>
              <w:top w:val="nil"/>
              <w:left w:val="nil"/>
              <w:bottom w:val="nil"/>
              <w:right w:val="nil"/>
            </w:tcBorders>
            <w:noWrap/>
            <w:vAlign w:val="bottom"/>
          </w:tcPr>
          <w:p w14:paraId="116E1BE4" w14:textId="77777777" w:rsidR="0093626A" w:rsidRDefault="00000000" w:rsidP="005915A7">
            <w:pPr>
              <w:spacing w:after="0" w:line="360" w:lineRule="auto"/>
              <w:jc w:val="right"/>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25.6</w:t>
            </w:r>
          </w:p>
        </w:tc>
      </w:tr>
      <w:tr w:rsidR="0093626A" w14:paraId="1EEB162F" w14:textId="77777777">
        <w:trPr>
          <w:trHeight w:val="300"/>
          <w:jc w:val="center"/>
        </w:trPr>
        <w:tc>
          <w:tcPr>
            <w:tcW w:w="1718" w:type="dxa"/>
            <w:gridSpan w:val="2"/>
            <w:tcBorders>
              <w:top w:val="nil"/>
              <w:left w:val="nil"/>
              <w:bottom w:val="nil"/>
              <w:right w:val="nil"/>
            </w:tcBorders>
            <w:noWrap/>
            <w:vAlign w:val="bottom"/>
          </w:tcPr>
          <w:p w14:paraId="11DC53D3" w14:textId="77777777" w:rsidR="0093626A" w:rsidRDefault="00000000" w:rsidP="005915A7">
            <w:pPr>
              <w:spacing w:after="0" w:line="360" w:lineRule="auto"/>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Estado civil</w:t>
            </w:r>
          </w:p>
        </w:tc>
        <w:tc>
          <w:tcPr>
            <w:tcW w:w="1328" w:type="dxa"/>
            <w:tcBorders>
              <w:top w:val="nil"/>
              <w:left w:val="nil"/>
              <w:bottom w:val="nil"/>
              <w:right w:val="nil"/>
            </w:tcBorders>
            <w:noWrap/>
            <w:vAlign w:val="bottom"/>
          </w:tcPr>
          <w:p w14:paraId="4C8889FD" w14:textId="77777777" w:rsidR="0093626A" w:rsidRDefault="0093626A" w:rsidP="005915A7">
            <w:pPr>
              <w:spacing w:after="0" w:line="360" w:lineRule="auto"/>
              <w:rPr>
                <w:rFonts w:ascii="Arial" w:eastAsia="Times New Roman" w:hAnsi="Arial" w:cs="Arial"/>
                <w:color w:val="000000"/>
                <w:kern w:val="0"/>
                <w:sz w:val="24"/>
                <w:szCs w:val="24"/>
                <w:lang w:eastAsia="es-MX"/>
                <w14:ligatures w14:val="none"/>
              </w:rPr>
            </w:pPr>
          </w:p>
        </w:tc>
        <w:tc>
          <w:tcPr>
            <w:tcW w:w="1288" w:type="dxa"/>
            <w:tcBorders>
              <w:top w:val="nil"/>
              <w:left w:val="nil"/>
              <w:bottom w:val="nil"/>
              <w:right w:val="nil"/>
            </w:tcBorders>
            <w:noWrap/>
            <w:vAlign w:val="bottom"/>
          </w:tcPr>
          <w:p w14:paraId="2D227B90" w14:textId="77777777" w:rsidR="0093626A" w:rsidRDefault="0093626A" w:rsidP="005915A7">
            <w:pPr>
              <w:spacing w:after="0" w:line="360" w:lineRule="auto"/>
              <w:rPr>
                <w:rFonts w:ascii="Arial" w:eastAsia="Times New Roman" w:hAnsi="Arial" w:cs="Arial"/>
                <w:kern w:val="0"/>
                <w:sz w:val="24"/>
                <w:szCs w:val="24"/>
                <w:lang w:eastAsia="es-MX"/>
                <w14:ligatures w14:val="none"/>
              </w:rPr>
            </w:pPr>
          </w:p>
        </w:tc>
      </w:tr>
      <w:tr w:rsidR="0093626A" w14:paraId="10CA47D0" w14:textId="77777777">
        <w:trPr>
          <w:trHeight w:val="300"/>
          <w:jc w:val="center"/>
        </w:trPr>
        <w:tc>
          <w:tcPr>
            <w:tcW w:w="207" w:type="dxa"/>
            <w:tcBorders>
              <w:top w:val="nil"/>
              <w:left w:val="nil"/>
              <w:bottom w:val="nil"/>
              <w:right w:val="nil"/>
            </w:tcBorders>
            <w:noWrap/>
            <w:vAlign w:val="bottom"/>
          </w:tcPr>
          <w:p w14:paraId="3BBEDEDE" w14:textId="77777777" w:rsidR="0093626A" w:rsidRDefault="0093626A" w:rsidP="005915A7">
            <w:pPr>
              <w:spacing w:after="0" w:line="360" w:lineRule="auto"/>
              <w:rPr>
                <w:rFonts w:ascii="Arial" w:eastAsia="Times New Roman" w:hAnsi="Arial" w:cs="Arial"/>
                <w:kern w:val="0"/>
                <w:sz w:val="24"/>
                <w:szCs w:val="24"/>
                <w:lang w:eastAsia="es-MX"/>
                <w14:ligatures w14:val="none"/>
              </w:rPr>
            </w:pPr>
          </w:p>
        </w:tc>
        <w:tc>
          <w:tcPr>
            <w:tcW w:w="1511" w:type="dxa"/>
            <w:tcBorders>
              <w:top w:val="nil"/>
              <w:left w:val="nil"/>
              <w:bottom w:val="nil"/>
              <w:right w:val="nil"/>
            </w:tcBorders>
            <w:noWrap/>
            <w:vAlign w:val="bottom"/>
          </w:tcPr>
          <w:p w14:paraId="2478C3AA" w14:textId="77777777" w:rsidR="0093626A" w:rsidRDefault="00000000" w:rsidP="005915A7">
            <w:pPr>
              <w:spacing w:after="0" w:line="360" w:lineRule="auto"/>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Soltero</w:t>
            </w:r>
          </w:p>
        </w:tc>
        <w:tc>
          <w:tcPr>
            <w:tcW w:w="1328" w:type="dxa"/>
            <w:tcBorders>
              <w:top w:val="nil"/>
              <w:left w:val="nil"/>
              <w:bottom w:val="nil"/>
              <w:right w:val="nil"/>
            </w:tcBorders>
            <w:noWrap/>
            <w:vAlign w:val="bottom"/>
          </w:tcPr>
          <w:p w14:paraId="47F72281" w14:textId="77777777" w:rsidR="0093626A" w:rsidRDefault="00000000" w:rsidP="005915A7">
            <w:pPr>
              <w:spacing w:after="0" w:line="360" w:lineRule="auto"/>
              <w:jc w:val="right"/>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93</w:t>
            </w:r>
          </w:p>
        </w:tc>
        <w:tc>
          <w:tcPr>
            <w:tcW w:w="1288" w:type="dxa"/>
            <w:tcBorders>
              <w:top w:val="nil"/>
              <w:left w:val="nil"/>
              <w:bottom w:val="nil"/>
              <w:right w:val="nil"/>
            </w:tcBorders>
            <w:noWrap/>
            <w:vAlign w:val="bottom"/>
          </w:tcPr>
          <w:p w14:paraId="6EF38F38" w14:textId="77777777" w:rsidR="0093626A" w:rsidRDefault="00000000" w:rsidP="005915A7">
            <w:pPr>
              <w:spacing w:after="0" w:line="360" w:lineRule="auto"/>
              <w:jc w:val="right"/>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74.4</w:t>
            </w:r>
          </w:p>
        </w:tc>
      </w:tr>
      <w:tr w:rsidR="0093626A" w14:paraId="30E2A681" w14:textId="77777777">
        <w:trPr>
          <w:trHeight w:val="300"/>
          <w:jc w:val="center"/>
        </w:trPr>
        <w:tc>
          <w:tcPr>
            <w:tcW w:w="207" w:type="dxa"/>
            <w:tcBorders>
              <w:top w:val="nil"/>
              <w:left w:val="nil"/>
              <w:bottom w:val="nil"/>
              <w:right w:val="nil"/>
            </w:tcBorders>
            <w:noWrap/>
            <w:vAlign w:val="bottom"/>
          </w:tcPr>
          <w:p w14:paraId="3B31C2C4" w14:textId="77777777" w:rsidR="0093626A" w:rsidRDefault="0093626A" w:rsidP="005915A7">
            <w:pPr>
              <w:spacing w:after="0" w:line="360" w:lineRule="auto"/>
              <w:jc w:val="right"/>
              <w:rPr>
                <w:rFonts w:ascii="Arial" w:eastAsia="Times New Roman" w:hAnsi="Arial" w:cs="Arial"/>
                <w:color w:val="000000"/>
                <w:kern w:val="0"/>
                <w:sz w:val="24"/>
                <w:szCs w:val="24"/>
                <w:lang w:eastAsia="es-MX"/>
                <w14:ligatures w14:val="none"/>
              </w:rPr>
            </w:pPr>
          </w:p>
        </w:tc>
        <w:tc>
          <w:tcPr>
            <w:tcW w:w="1511" w:type="dxa"/>
            <w:tcBorders>
              <w:top w:val="nil"/>
              <w:left w:val="nil"/>
              <w:bottom w:val="nil"/>
              <w:right w:val="nil"/>
            </w:tcBorders>
            <w:noWrap/>
            <w:vAlign w:val="bottom"/>
          </w:tcPr>
          <w:p w14:paraId="7F09A8A0" w14:textId="77777777" w:rsidR="0093626A" w:rsidRDefault="00000000" w:rsidP="005915A7">
            <w:pPr>
              <w:spacing w:after="0" w:line="360" w:lineRule="auto"/>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Casado</w:t>
            </w:r>
          </w:p>
        </w:tc>
        <w:tc>
          <w:tcPr>
            <w:tcW w:w="1328" w:type="dxa"/>
            <w:tcBorders>
              <w:top w:val="nil"/>
              <w:left w:val="nil"/>
              <w:bottom w:val="nil"/>
              <w:right w:val="nil"/>
            </w:tcBorders>
            <w:noWrap/>
            <w:vAlign w:val="bottom"/>
          </w:tcPr>
          <w:p w14:paraId="3096F0A5" w14:textId="77777777" w:rsidR="0093626A" w:rsidRDefault="00000000" w:rsidP="005915A7">
            <w:pPr>
              <w:spacing w:after="0" w:line="360" w:lineRule="auto"/>
              <w:jc w:val="right"/>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11</w:t>
            </w:r>
          </w:p>
        </w:tc>
        <w:tc>
          <w:tcPr>
            <w:tcW w:w="1288" w:type="dxa"/>
            <w:tcBorders>
              <w:top w:val="nil"/>
              <w:left w:val="nil"/>
              <w:bottom w:val="nil"/>
              <w:right w:val="nil"/>
            </w:tcBorders>
            <w:noWrap/>
            <w:vAlign w:val="bottom"/>
          </w:tcPr>
          <w:p w14:paraId="299AC0C9" w14:textId="77777777" w:rsidR="0093626A" w:rsidRDefault="00000000" w:rsidP="005915A7">
            <w:pPr>
              <w:spacing w:after="0" w:line="360" w:lineRule="auto"/>
              <w:jc w:val="right"/>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8.8</w:t>
            </w:r>
          </w:p>
        </w:tc>
      </w:tr>
      <w:tr w:rsidR="0093626A" w14:paraId="5A1F18F8" w14:textId="77777777">
        <w:trPr>
          <w:trHeight w:val="300"/>
          <w:jc w:val="center"/>
        </w:trPr>
        <w:tc>
          <w:tcPr>
            <w:tcW w:w="207" w:type="dxa"/>
            <w:tcBorders>
              <w:top w:val="nil"/>
              <w:left w:val="nil"/>
              <w:bottom w:val="nil"/>
              <w:right w:val="nil"/>
            </w:tcBorders>
            <w:noWrap/>
            <w:vAlign w:val="bottom"/>
          </w:tcPr>
          <w:p w14:paraId="021A6148" w14:textId="77777777" w:rsidR="0093626A" w:rsidRDefault="0093626A" w:rsidP="005915A7">
            <w:pPr>
              <w:spacing w:after="0" w:line="360" w:lineRule="auto"/>
              <w:jc w:val="right"/>
              <w:rPr>
                <w:rFonts w:ascii="Arial" w:eastAsia="Times New Roman" w:hAnsi="Arial" w:cs="Arial"/>
                <w:color w:val="000000"/>
                <w:kern w:val="0"/>
                <w:sz w:val="24"/>
                <w:szCs w:val="24"/>
                <w:lang w:eastAsia="es-MX"/>
                <w14:ligatures w14:val="none"/>
              </w:rPr>
            </w:pPr>
          </w:p>
        </w:tc>
        <w:tc>
          <w:tcPr>
            <w:tcW w:w="1511" w:type="dxa"/>
            <w:tcBorders>
              <w:top w:val="nil"/>
              <w:left w:val="nil"/>
              <w:bottom w:val="nil"/>
              <w:right w:val="nil"/>
            </w:tcBorders>
            <w:noWrap/>
            <w:vAlign w:val="bottom"/>
          </w:tcPr>
          <w:p w14:paraId="4912C665" w14:textId="77777777" w:rsidR="0093626A" w:rsidRDefault="00000000" w:rsidP="005915A7">
            <w:pPr>
              <w:spacing w:after="0" w:line="360" w:lineRule="auto"/>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Unión libre</w:t>
            </w:r>
          </w:p>
        </w:tc>
        <w:tc>
          <w:tcPr>
            <w:tcW w:w="1328" w:type="dxa"/>
            <w:tcBorders>
              <w:top w:val="nil"/>
              <w:left w:val="nil"/>
              <w:bottom w:val="nil"/>
              <w:right w:val="nil"/>
            </w:tcBorders>
            <w:noWrap/>
            <w:vAlign w:val="bottom"/>
          </w:tcPr>
          <w:p w14:paraId="7051F638" w14:textId="77777777" w:rsidR="0093626A" w:rsidRDefault="00000000" w:rsidP="005915A7">
            <w:pPr>
              <w:spacing w:after="0" w:line="360" w:lineRule="auto"/>
              <w:jc w:val="right"/>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21</w:t>
            </w:r>
          </w:p>
        </w:tc>
        <w:tc>
          <w:tcPr>
            <w:tcW w:w="1288" w:type="dxa"/>
            <w:tcBorders>
              <w:top w:val="nil"/>
              <w:left w:val="nil"/>
              <w:bottom w:val="nil"/>
              <w:right w:val="nil"/>
            </w:tcBorders>
            <w:noWrap/>
            <w:vAlign w:val="bottom"/>
          </w:tcPr>
          <w:p w14:paraId="135FB7E9" w14:textId="77777777" w:rsidR="0093626A" w:rsidRDefault="00000000" w:rsidP="005915A7">
            <w:pPr>
              <w:spacing w:after="0" w:line="360" w:lineRule="auto"/>
              <w:jc w:val="right"/>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16.8</w:t>
            </w:r>
          </w:p>
        </w:tc>
      </w:tr>
      <w:tr w:rsidR="0093626A" w14:paraId="065D50E1" w14:textId="77777777">
        <w:trPr>
          <w:trHeight w:val="300"/>
          <w:jc w:val="center"/>
        </w:trPr>
        <w:tc>
          <w:tcPr>
            <w:tcW w:w="3046" w:type="dxa"/>
            <w:gridSpan w:val="3"/>
            <w:tcBorders>
              <w:top w:val="nil"/>
              <w:left w:val="nil"/>
              <w:bottom w:val="nil"/>
              <w:right w:val="nil"/>
            </w:tcBorders>
            <w:noWrap/>
            <w:vAlign w:val="bottom"/>
          </w:tcPr>
          <w:p w14:paraId="760DCC30" w14:textId="77777777" w:rsidR="0093626A" w:rsidRDefault="00000000" w:rsidP="005915A7">
            <w:pPr>
              <w:spacing w:after="0" w:line="360" w:lineRule="auto"/>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Estudios máximos</w:t>
            </w:r>
          </w:p>
        </w:tc>
        <w:tc>
          <w:tcPr>
            <w:tcW w:w="1288" w:type="dxa"/>
            <w:tcBorders>
              <w:top w:val="nil"/>
              <w:left w:val="nil"/>
              <w:bottom w:val="nil"/>
              <w:right w:val="nil"/>
            </w:tcBorders>
            <w:noWrap/>
            <w:vAlign w:val="bottom"/>
          </w:tcPr>
          <w:p w14:paraId="0A5F5570" w14:textId="77777777" w:rsidR="0093626A" w:rsidRDefault="0093626A" w:rsidP="005915A7">
            <w:pPr>
              <w:spacing w:after="0" w:line="360" w:lineRule="auto"/>
              <w:rPr>
                <w:rFonts w:ascii="Arial" w:eastAsia="Times New Roman" w:hAnsi="Arial" w:cs="Arial"/>
                <w:color w:val="000000"/>
                <w:kern w:val="0"/>
                <w:sz w:val="24"/>
                <w:szCs w:val="24"/>
                <w:lang w:eastAsia="es-MX"/>
                <w14:ligatures w14:val="none"/>
              </w:rPr>
            </w:pPr>
          </w:p>
        </w:tc>
      </w:tr>
      <w:tr w:rsidR="0093626A" w14:paraId="6D3F303B" w14:textId="77777777">
        <w:trPr>
          <w:trHeight w:val="300"/>
          <w:jc w:val="center"/>
        </w:trPr>
        <w:tc>
          <w:tcPr>
            <w:tcW w:w="207" w:type="dxa"/>
            <w:tcBorders>
              <w:top w:val="nil"/>
              <w:left w:val="nil"/>
              <w:bottom w:val="nil"/>
              <w:right w:val="nil"/>
            </w:tcBorders>
            <w:noWrap/>
            <w:vAlign w:val="bottom"/>
          </w:tcPr>
          <w:p w14:paraId="44F47B24" w14:textId="77777777" w:rsidR="0093626A" w:rsidRDefault="0093626A" w:rsidP="005915A7">
            <w:pPr>
              <w:spacing w:after="0" w:line="360" w:lineRule="auto"/>
              <w:jc w:val="right"/>
              <w:rPr>
                <w:rFonts w:ascii="Arial" w:eastAsia="Times New Roman" w:hAnsi="Arial" w:cs="Arial"/>
                <w:color w:val="000000"/>
                <w:kern w:val="0"/>
                <w:sz w:val="24"/>
                <w:szCs w:val="24"/>
                <w:lang w:eastAsia="es-MX"/>
                <w14:ligatures w14:val="none"/>
              </w:rPr>
            </w:pPr>
          </w:p>
        </w:tc>
        <w:tc>
          <w:tcPr>
            <w:tcW w:w="1511" w:type="dxa"/>
            <w:tcBorders>
              <w:top w:val="nil"/>
              <w:left w:val="nil"/>
              <w:bottom w:val="nil"/>
              <w:right w:val="nil"/>
            </w:tcBorders>
            <w:noWrap/>
            <w:vAlign w:val="bottom"/>
          </w:tcPr>
          <w:p w14:paraId="7224DEC7" w14:textId="77777777" w:rsidR="0093626A" w:rsidRDefault="00000000" w:rsidP="005915A7">
            <w:pPr>
              <w:spacing w:after="0" w:line="360" w:lineRule="auto"/>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Secundaria</w:t>
            </w:r>
          </w:p>
        </w:tc>
        <w:tc>
          <w:tcPr>
            <w:tcW w:w="1328" w:type="dxa"/>
            <w:tcBorders>
              <w:top w:val="nil"/>
              <w:left w:val="nil"/>
              <w:bottom w:val="nil"/>
              <w:right w:val="nil"/>
            </w:tcBorders>
            <w:noWrap/>
            <w:vAlign w:val="bottom"/>
          </w:tcPr>
          <w:p w14:paraId="0B837C2C" w14:textId="77777777" w:rsidR="0093626A" w:rsidRDefault="00000000" w:rsidP="005915A7">
            <w:pPr>
              <w:spacing w:after="0" w:line="360" w:lineRule="auto"/>
              <w:jc w:val="right"/>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18</w:t>
            </w:r>
          </w:p>
        </w:tc>
        <w:tc>
          <w:tcPr>
            <w:tcW w:w="1288" w:type="dxa"/>
            <w:tcBorders>
              <w:top w:val="nil"/>
              <w:left w:val="nil"/>
              <w:bottom w:val="nil"/>
              <w:right w:val="nil"/>
            </w:tcBorders>
            <w:noWrap/>
            <w:vAlign w:val="bottom"/>
          </w:tcPr>
          <w:p w14:paraId="4E3F4B79" w14:textId="77777777" w:rsidR="0093626A" w:rsidRDefault="00000000" w:rsidP="005915A7">
            <w:pPr>
              <w:spacing w:after="0" w:line="360" w:lineRule="auto"/>
              <w:jc w:val="right"/>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14.4</w:t>
            </w:r>
          </w:p>
        </w:tc>
      </w:tr>
      <w:tr w:rsidR="0093626A" w14:paraId="55B4AA42" w14:textId="77777777">
        <w:trPr>
          <w:trHeight w:val="300"/>
          <w:jc w:val="center"/>
        </w:trPr>
        <w:tc>
          <w:tcPr>
            <w:tcW w:w="207" w:type="dxa"/>
            <w:tcBorders>
              <w:top w:val="nil"/>
              <w:left w:val="nil"/>
              <w:bottom w:val="nil"/>
              <w:right w:val="nil"/>
            </w:tcBorders>
            <w:noWrap/>
            <w:vAlign w:val="bottom"/>
          </w:tcPr>
          <w:p w14:paraId="2C2A2805" w14:textId="77777777" w:rsidR="0093626A" w:rsidRDefault="0093626A" w:rsidP="005915A7">
            <w:pPr>
              <w:spacing w:after="0" w:line="360" w:lineRule="auto"/>
              <w:jc w:val="right"/>
              <w:rPr>
                <w:rFonts w:ascii="Arial" w:eastAsia="Times New Roman" w:hAnsi="Arial" w:cs="Arial"/>
                <w:color w:val="000000"/>
                <w:kern w:val="0"/>
                <w:sz w:val="24"/>
                <w:szCs w:val="24"/>
                <w:lang w:eastAsia="es-MX"/>
                <w14:ligatures w14:val="none"/>
              </w:rPr>
            </w:pPr>
          </w:p>
        </w:tc>
        <w:tc>
          <w:tcPr>
            <w:tcW w:w="1511" w:type="dxa"/>
            <w:tcBorders>
              <w:top w:val="nil"/>
              <w:left w:val="nil"/>
              <w:bottom w:val="nil"/>
              <w:right w:val="nil"/>
            </w:tcBorders>
            <w:noWrap/>
            <w:vAlign w:val="bottom"/>
          </w:tcPr>
          <w:p w14:paraId="684E0089" w14:textId="77777777" w:rsidR="0093626A" w:rsidRDefault="00000000" w:rsidP="005915A7">
            <w:pPr>
              <w:spacing w:after="0" w:line="360" w:lineRule="auto"/>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Bachillerato</w:t>
            </w:r>
          </w:p>
        </w:tc>
        <w:tc>
          <w:tcPr>
            <w:tcW w:w="1328" w:type="dxa"/>
            <w:tcBorders>
              <w:top w:val="nil"/>
              <w:left w:val="nil"/>
              <w:bottom w:val="nil"/>
              <w:right w:val="nil"/>
            </w:tcBorders>
            <w:noWrap/>
            <w:vAlign w:val="bottom"/>
          </w:tcPr>
          <w:p w14:paraId="137774DE" w14:textId="77777777" w:rsidR="0093626A" w:rsidRDefault="00000000" w:rsidP="005915A7">
            <w:pPr>
              <w:spacing w:after="0" w:line="360" w:lineRule="auto"/>
              <w:jc w:val="right"/>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68</w:t>
            </w:r>
          </w:p>
        </w:tc>
        <w:tc>
          <w:tcPr>
            <w:tcW w:w="1288" w:type="dxa"/>
            <w:tcBorders>
              <w:top w:val="nil"/>
              <w:left w:val="nil"/>
              <w:bottom w:val="nil"/>
              <w:right w:val="nil"/>
            </w:tcBorders>
            <w:noWrap/>
            <w:vAlign w:val="bottom"/>
          </w:tcPr>
          <w:p w14:paraId="68CB2E1B" w14:textId="77777777" w:rsidR="0093626A" w:rsidRDefault="00000000" w:rsidP="005915A7">
            <w:pPr>
              <w:spacing w:after="0" w:line="360" w:lineRule="auto"/>
              <w:jc w:val="right"/>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54.4</w:t>
            </w:r>
          </w:p>
        </w:tc>
      </w:tr>
      <w:tr w:rsidR="0093626A" w14:paraId="6E96EC70" w14:textId="77777777">
        <w:trPr>
          <w:trHeight w:val="300"/>
          <w:jc w:val="center"/>
        </w:trPr>
        <w:tc>
          <w:tcPr>
            <w:tcW w:w="207" w:type="dxa"/>
            <w:tcBorders>
              <w:top w:val="nil"/>
              <w:left w:val="nil"/>
              <w:bottom w:val="nil"/>
              <w:right w:val="nil"/>
            </w:tcBorders>
            <w:noWrap/>
            <w:vAlign w:val="bottom"/>
          </w:tcPr>
          <w:p w14:paraId="0EF487C3" w14:textId="77777777" w:rsidR="0093626A" w:rsidRDefault="0093626A" w:rsidP="005915A7">
            <w:pPr>
              <w:spacing w:after="0" w:line="360" w:lineRule="auto"/>
              <w:jc w:val="right"/>
              <w:rPr>
                <w:rFonts w:ascii="Arial" w:eastAsia="Times New Roman" w:hAnsi="Arial" w:cs="Arial"/>
                <w:color w:val="000000"/>
                <w:kern w:val="0"/>
                <w:sz w:val="24"/>
                <w:szCs w:val="24"/>
                <w:lang w:eastAsia="es-MX"/>
                <w14:ligatures w14:val="none"/>
              </w:rPr>
            </w:pPr>
          </w:p>
        </w:tc>
        <w:tc>
          <w:tcPr>
            <w:tcW w:w="1511" w:type="dxa"/>
            <w:tcBorders>
              <w:top w:val="nil"/>
              <w:left w:val="nil"/>
              <w:bottom w:val="nil"/>
              <w:right w:val="nil"/>
            </w:tcBorders>
            <w:noWrap/>
            <w:vAlign w:val="bottom"/>
          </w:tcPr>
          <w:p w14:paraId="5608F8E3" w14:textId="77777777" w:rsidR="0093626A" w:rsidRDefault="00000000" w:rsidP="005915A7">
            <w:pPr>
              <w:spacing w:after="0" w:line="360" w:lineRule="auto"/>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Licenciatura</w:t>
            </w:r>
          </w:p>
        </w:tc>
        <w:tc>
          <w:tcPr>
            <w:tcW w:w="1328" w:type="dxa"/>
            <w:tcBorders>
              <w:top w:val="nil"/>
              <w:left w:val="nil"/>
              <w:bottom w:val="nil"/>
              <w:right w:val="nil"/>
            </w:tcBorders>
            <w:noWrap/>
            <w:vAlign w:val="bottom"/>
          </w:tcPr>
          <w:p w14:paraId="31410D62" w14:textId="77777777" w:rsidR="0093626A" w:rsidRDefault="00000000" w:rsidP="005915A7">
            <w:pPr>
              <w:spacing w:after="0" w:line="360" w:lineRule="auto"/>
              <w:jc w:val="right"/>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34</w:t>
            </w:r>
          </w:p>
        </w:tc>
        <w:tc>
          <w:tcPr>
            <w:tcW w:w="1288" w:type="dxa"/>
            <w:tcBorders>
              <w:top w:val="nil"/>
              <w:left w:val="nil"/>
              <w:bottom w:val="nil"/>
              <w:right w:val="nil"/>
            </w:tcBorders>
            <w:noWrap/>
            <w:vAlign w:val="bottom"/>
          </w:tcPr>
          <w:p w14:paraId="27AB382D" w14:textId="77777777" w:rsidR="0093626A" w:rsidRDefault="00000000" w:rsidP="005915A7">
            <w:pPr>
              <w:spacing w:after="0" w:line="360" w:lineRule="auto"/>
              <w:jc w:val="right"/>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27.2</w:t>
            </w:r>
          </w:p>
        </w:tc>
      </w:tr>
      <w:tr w:rsidR="0093626A" w14:paraId="64228031" w14:textId="77777777">
        <w:trPr>
          <w:trHeight w:val="300"/>
          <w:jc w:val="center"/>
        </w:trPr>
        <w:tc>
          <w:tcPr>
            <w:tcW w:w="207" w:type="dxa"/>
            <w:tcBorders>
              <w:top w:val="nil"/>
              <w:left w:val="nil"/>
              <w:bottom w:val="nil"/>
              <w:right w:val="nil"/>
            </w:tcBorders>
            <w:noWrap/>
            <w:vAlign w:val="bottom"/>
          </w:tcPr>
          <w:p w14:paraId="2EF97994" w14:textId="77777777" w:rsidR="0093626A" w:rsidRDefault="00000000" w:rsidP="005915A7">
            <w:pPr>
              <w:spacing w:after="0" w:line="360" w:lineRule="auto"/>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 </w:t>
            </w:r>
          </w:p>
        </w:tc>
        <w:tc>
          <w:tcPr>
            <w:tcW w:w="1511" w:type="dxa"/>
            <w:tcBorders>
              <w:top w:val="nil"/>
              <w:left w:val="nil"/>
              <w:bottom w:val="nil"/>
              <w:right w:val="nil"/>
            </w:tcBorders>
            <w:noWrap/>
            <w:vAlign w:val="bottom"/>
          </w:tcPr>
          <w:p w14:paraId="33B9E407" w14:textId="77777777" w:rsidR="0093626A" w:rsidRDefault="00000000" w:rsidP="005915A7">
            <w:pPr>
              <w:spacing w:after="0" w:line="360" w:lineRule="auto"/>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Maestría</w:t>
            </w:r>
          </w:p>
        </w:tc>
        <w:tc>
          <w:tcPr>
            <w:tcW w:w="1328" w:type="dxa"/>
            <w:tcBorders>
              <w:top w:val="nil"/>
              <w:left w:val="nil"/>
              <w:bottom w:val="nil"/>
              <w:right w:val="nil"/>
            </w:tcBorders>
            <w:noWrap/>
            <w:vAlign w:val="bottom"/>
          </w:tcPr>
          <w:p w14:paraId="7D6DC265" w14:textId="77777777" w:rsidR="0093626A" w:rsidRDefault="00000000" w:rsidP="005915A7">
            <w:pPr>
              <w:spacing w:after="0" w:line="360" w:lineRule="auto"/>
              <w:jc w:val="right"/>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4</w:t>
            </w:r>
          </w:p>
        </w:tc>
        <w:tc>
          <w:tcPr>
            <w:tcW w:w="1288" w:type="dxa"/>
            <w:tcBorders>
              <w:top w:val="nil"/>
              <w:left w:val="nil"/>
              <w:bottom w:val="nil"/>
              <w:right w:val="nil"/>
            </w:tcBorders>
            <w:noWrap/>
            <w:vAlign w:val="bottom"/>
          </w:tcPr>
          <w:p w14:paraId="76C7A56F" w14:textId="77777777" w:rsidR="0093626A" w:rsidRDefault="00000000" w:rsidP="005915A7">
            <w:pPr>
              <w:spacing w:after="0" w:line="360" w:lineRule="auto"/>
              <w:jc w:val="right"/>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3.2</w:t>
            </w:r>
          </w:p>
        </w:tc>
      </w:tr>
      <w:tr w:rsidR="0093626A" w14:paraId="1209167F" w14:textId="77777777">
        <w:trPr>
          <w:trHeight w:val="300"/>
          <w:jc w:val="center"/>
        </w:trPr>
        <w:tc>
          <w:tcPr>
            <w:tcW w:w="207" w:type="dxa"/>
            <w:tcBorders>
              <w:top w:val="nil"/>
              <w:left w:val="nil"/>
              <w:bottom w:val="single" w:sz="4" w:space="0" w:color="auto"/>
              <w:right w:val="nil"/>
            </w:tcBorders>
            <w:noWrap/>
            <w:vAlign w:val="bottom"/>
          </w:tcPr>
          <w:p w14:paraId="1A9CD529" w14:textId="77777777" w:rsidR="0093626A" w:rsidRDefault="0093626A" w:rsidP="005915A7">
            <w:pPr>
              <w:spacing w:after="0" w:line="360" w:lineRule="auto"/>
              <w:rPr>
                <w:rFonts w:ascii="Arial" w:eastAsia="Times New Roman" w:hAnsi="Arial" w:cs="Arial"/>
                <w:color w:val="000000"/>
                <w:kern w:val="0"/>
                <w:sz w:val="24"/>
                <w:szCs w:val="24"/>
                <w:lang w:eastAsia="es-MX"/>
                <w14:ligatures w14:val="none"/>
              </w:rPr>
            </w:pPr>
          </w:p>
        </w:tc>
        <w:tc>
          <w:tcPr>
            <w:tcW w:w="1511" w:type="dxa"/>
            <w:tcBorders>
              <w:top w:val="nil"/>
              <w:left w:val="nil"/>
              <w:bottom w:val="single" w:sz="4" w:space="0" w:color="auto"/>
              <w:right w:val="nil"/>
            </w:tcBorders>
            <w:noWrap/>
            <w:vAlign w:val="bottom"/>
          </w:tcPr>
          <w:p w14:paraId="0DAA34F4" w14:textId="77777777" w:rsidR="0093626A" w:rsidRDefault="00000000" w:rsidP="005915A7">
            <w:pPr>
              <w:spacing w:after="0" w:line="360" w:lineRule="auto"/>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Doctorado</w:t>
            </w:r>
          </w:p>
        </w:tc>
        <w:tc>
          <w:tcPr>
            <w:tcW w:w="1328" w:type="dxa"/>
            <w:tcBorders>
              <w:top w:val="nil"/>
              <w:left w:val="nil"/>
              <w:bottom w:val="single" w:sz="4" w:space="0" w:color="auto"/>
              <w:right w:val="nil"/>
            </w:tcBorders>
            <w:noWrap/>
            <w:vAlign w:val="bottom"/>
          </w:tcPr>
          <w:p w14:paraId="55BE2AD0" w14:textId="77777777" w:rsidR="0093626A" w:rsidRDefault="00000000" w:rsidP="005915A7">
            <w:pPr>
              <w:spacing w:after="0" w:line="360" w:lineRule="auto"/>
              <w:jc w:val="right"/>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1</w:t>
            </w:r>
          </w:p>
        </w:tc>
        <w:tc>
          <w:tcPr>
            <w:tcW w:w="1288" w:type="dxa"/>
            <w:tcBorders>
              <w:top w:val="nil"/>
              <w:left w:val="nil"/>
              <w:bottom w:val="single" w:sz="4" w:space="0" w:color="auto"/>
              <w:right w:val="nil"/>
            </w:tcBorders>
            <w:noWrap/>
            <w:vAlign w:val="bottom"/>
          </w:tcPr>
          <w:p w14:paraId="7B7D53E9" w14:textId="77777777" w:rsidR="0093626A" w:rsidRDefault="00000000" w:rsidP="005915A7">
            <w:pPr>
              <w:spacing w:after="0" w:line="360" w:lineRule="auto"/>
              <w:jc w:val="right"/>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0.8</w:t>
            </w:r>
          </w:p>
        </w:tc>
      </w:tr>
    </w:tbl>
    <w:p w14:paraId="01B0BB91" w14:textId="77777777" w:rsidR="0093626A" w:rsidRDefault="00000000" w:rsidP="00634580">
      <w:pPr>
        <w:spacing w:after="0" w:line="360" w:lineRule="auto"/>
        <w:jc w:val="center"/>
        <w:rPr>
          <w:rFonts w:ascii="Arial" w:hAnsi="Arial" w:cs="Arial"/>
          <w:sz w:val="24"/>
          <w:szCs w:val="24"/>
        </w:rPr>
      </w:pPr>
      <w:r>
        <w:rPr>
          <w:rFonts w:ascii="Arial" w:hAnsi="Arial" w:cs="Arial"/>
          <w:sz w:val="24"/>
          <w:szCs w:val="24"/>
        </w:rPr>
        <w:fldChar w:fldCharType="end"/>
      </w:r>
      <w:r w:rsidRPr="00634580">
        <w:rPr>
          <w:rFonts w:ascii="Arial" w:hAnsi="Arial" w:cs="Arial"/>
          <w:sz w:val="20"/>
          <w:szCs w:val="20"/>
        </w:rPr>
        <w:t>Fuente: Elaboración Propia</w:t>
      </w:r>
    </w:p>
    <w:p w14:paraId="74184A57" w14:textId="77777777" w:rsidR="0093626A" w:rsidRDefault="0093626A" w:rsidP="005915A7">
      <w:pPr>
        <w:spacing w:after="0" w:line="360" w:lineRule="auto"/>
        <w:jc w:val="both"/>
        <w:rPr>
          <w:rFonts w:ascii="Arial" w:hAnsi="Arial" w:cs="Arial"/>
          <w:sz w:val="24"/>
          <w:szCs w:val="24"/>
        </w:rPr>
      </w:pPr>
    </w:p>
    <w:p w14:paraId="62E8F34D" w14:textId="77777777" w:rsidR="0093626A" w:rsidRDefault="00000000" w:rsidP="005915A7">
      <w:pPr>
        <w:spacing w:after="0" w:line="360" w:lineRule="auto"/>
        <w:jc w:val="both"/>
        <w:rPr>
          <w:rFonts w:ascii="Arial" w:hAnsi="Arial" w:cs="Arial"/>
          <w:b/>
          <w:bCs/>
          <w:sz w:val="24"/>
          <w:szCs w:val="24"/>
        </w:rPr>
      </w:pPr>
      <w:r>
        <w:rPr>
          <w:rFonts w:ascii="Arial" w:hAnsi="Arial" w:cs="Arial"/>
          <w:b/>
          <w:bCs/>
          <w:sz w:val="24"/>
          <w:szCs w:val="24"/>
        </w:rPr>
        <w:t>Instrumento</w:t>
      </w:r>
    </w:p>
    <w:p w14:paraId="1DCABFF2" w14:textId="77777777" w:rsidR="0093626A" w:rsidRDefault="00000000" w:rsidP="005915A7">
      <w:pPr>
        <w:spacing w:after="0" w:line="360" w:lineRule="auto"/>
        <w:jc w:val="both"/>
        <w:rPr>
          <w:rFonts w:ascii="Arial" w:hAnsi="Arial" w:cs="Arial"/>
          <w:sz w:val="24"/>
          <w:szCs w:val="24"/>
        </w:rPr>
      </w:pPr>
      <w:r>
        <w:rPr>
          <w:rFonts w:ascii="Arial" w:hAnsi="Arial" w:cs="Arial"/>
          <w:sz w:val="24"/>
          <w:szCs w:val="24"/>
        </w:rPr>
        <w:t>El instrumento fue adaptado de Cristancho (2023) quien elaboró la escala ad-hoc para evaluar la actitud hacia el consumo responsable en Colombia; cabe hacer mención que mediante correo electrónico se contactó al autor para solicitar el permiso de replicarlo en México, con respuesta positiva.  El instrumento está diseñado en escala Likert con cinco opciones de respuesta donde 1 representa “Total desacuerdo” y 5 “Total de acuerdo”; por lo tanto, si el sujeto seleccionaba un puntaje mayor esto implica mayor atribución percibida a cada oración.</w:t>
      </w:r>
    </w:p>
    <w:p w14:paraId="06325AC5" w14:textId="77777777" w:rsidR="0093626A" w:rsidRDefault="0093626A" w:rsidP="005915A7">
      <w:pPr>
        <w:spacing w:after="0" w:line="360" w:lineRule="auto"/>
        <w:jc w:val="both"/>
        <w:rPr>
          <w:rFonts w:ascii="Arial" w:hAnsi="Arial" w:cs="Arial"/>
          <w:sz w:val="24"/>
          <w:szCs w:val="24"/>
        </w:rPr>
      </w:pPr>
    </w:p>
    <w:p w14:paraId="54D0DF5A" w14:textId="77777777" w:rsidR="0093626A" w:rsidRDefault="00000000" w:rsidP="005915A7">
      <w:pPr>
        <w:spacing w:after="0" w:line="360" w:lineRule="auto"/>
        <w:jc w:val="both"/>
        <w:rPr>
          <w:rFonts w:ascii="Arial" w:hAnsi="Arial" w:cs="Arial"/>
          <w:sz w:val="24"/>
          <w:szCs w:val="24"/>
        </w:rPr>
      </w:pPr>
      <w:r>
        <w:rPr>
          <w:rFonts w:ascii="Arial" w:hAnsi="Arial" w:cs="Arial"/>
          <w:sz w:val="24"/>
          <w:szCs w:val="24"/>
        </w:rPr>
        <w:t>Tabla 2. Dimensiones del instrumento</w:t>
      </w:r>
    </w:p>
    <w:tbl>
      <w:tblPr>
        <w:tblStyle w:val="Tablaconcuadrcula"/>
        <w:tblW w:w="5000" w:type="pct"/>
        <w:tblLook w:val="04A0" w:firstRow="1" w:lastRow="0" w:firstColumn="1" w:lastColumn="0" w:noHBand="0" w:noVBand="1"/>
      </w:tblPr>
      <w:tblGrid>
        <w:gridCol w:w="2973"/>
        <w:gridCol w:w="3524"/>
        <w:gridCol w:w="2331"/>
      </w:tblGrid>
      <w:tr w:rsidR="0093626A" w14:paraId="525541FC" w14:textId="77777777">
        <w:tc>
          <w:tcPr>
            <w:tcW w:w="1684" w:type="pct"/>
            <w:vAlign w:val="center"/>
          </w:tcPr>
          <w:p w14:paraId="6C156AD7" w14:textId="77777777" w:rsidR="0093626A" w:rsidRDefault="00000000" w:rsidP="005915A7">
            <w:pPr>
              <w:spacing w:after="0" w:line="360" w:lineRule="auto"/>
              <w:jc w:val="center"/>
              <w:rPr>
                <w:rFonts w:ascii="Arial" w:hAnsi="Arial" w:cs="Arial"/>
                <w:sz w:val="24"/>
                <w:szCs w:val="24"/>
              </w:rPr>
            </w:pPr>
            <w:r>
              <w:rPr>
                <w:rFonts w:ascii="Arial" w:hAnsi="Arial" w:cs="Arial"/>
                <w:sz w:val="24"/>
                <w:szCs w:val="24"/>
              </w:rPr>
              <w:t>Dimensión</w:t>
            </w:r>
          </w:p>
        </w:tc>
        <w:tc>
          <w:tcPr>
            <w:tcW w:w="1996" w:type="pct"/>
          </w:tcPr>
          <w:p w14:paraId="0CB0B092" w14:textId="77777777" w:rsidR="0093626A" w:rsidRDefault="00000000" w:rsidP="005915A7">
            <w:pPr>
              <w:spacing w:after="0" w:line="360" w:lineRule="auto"/>
              <w:jc w:val="center"/>
              <w:rPr>
                <w:rFonts w:ascii="Arial" w:hAnsi="Arial" w:cs="Arial"/>
                <w:sz w:val="24"/>
                <w:szCs w:val="24"/>
              </w:rPr>
            </w:pPr>
            <w:r>
              <w:rPr>
                <w:rFonts w:ascii="Arial" w:hAnsi="Arial" w:cs="Arial"/>
                <w:sz w:val="24"/>
                <w:szCs w:val="24"/>
              </w:rPr>
              <w:t>Ejemplo de ítem</w:t>
            </w:r>
          </w:p>
        </w:tc>
        <w:tc>
          <w:tcPr>
            <w:tcW w:w="1320" w:type="pct"/>
            <w:vAlign w:val="center"/>
          </w:tcPr>
          <w:p w14:paraId="71728B41" w14:textId="77777777" w:rsidR="0093626A" w:rsidRDefault="00000000" w:rsidP="005915A7">
            <w:pPr>
              <w:spacing w:after="0" w:line="360" w:lineRule="auto"/>
              <w:jc w:val="center"/>
              <w:rPr>
                <w:rFonts w:ascii="Arial" w:hAnsi="Arial" w:cs="Arial"/>
                <w:sz w:val="24"/>
                <w:szCs w:val="24"/>
              </w:rPr>
            </w:pPr>
            <w:r>
              <w:rPr>
                <w:rFonts w:ascii="Arial" w:hAnsi="Arial" w:cs="Arial"/>
                <w:sz w:val="24"/>
                <w:szCs w:val="24"/>
              </w:rPr>
              <w:t>No. de ítems</w:t>
            </w:r>
          </w:p>
        </w:tc>
      </w:tr>
      <w:tr w:rsidR="0093626A" w14:paraId="075D18CB" w14:textId="77777777">
        <w:tc>
          <w:tcPr>
            <w:tcW w:w="1684" w:type="pct"/>
            <w:vAlign w:val="center"/>
          </w:tcPr>
          <w:p w14:paraId="2BD146AD" w14:textId="77777777" w:rsidR="0093626A" w:rsidRDefault="00000000" w:rsidP="005915A7">
            <w:pPr>
              <w:spacing w:after="0" w:line="360" w:lineRule="auto"/>
              <w:jc w:val="center"/>
              <w:rPr>
                <w:rFonts w:ascii="Arial" w:hAnsi="Arial" w:cs="Arial"/>
                <w:sz w:val="24"/>
                <w:szCs w:val="24"/>
              </w:rPr>
            </w:pPr>
            <w:r>
              <w:rPr>
                <w:rFonts w:ascii="Arial" w:hAnsi="Arial" w:cs="Arial"/>
                <w:sz w:val="24"/>
                <w:szCs w:val="24"/>
              </w:rPr>
              <w:t>Actitud</w:t>
            </w:r>
          </w:p>
        </w:tc>
        <w:tc>
          <w:tcPr>
            <w:tcW w:w="1996" w:type="pct"/>
          </w:tcPr>
          <w:p w14:paraId="1691246E" w14:textId="77777777" w:rsidR="0093626A" w:rsidRDefault="00000000" w:rsidP="005915A7">
            <w:pPr>
              <w:spacing w:after="0" w:line="360" w:lineRule="auto"/>
              <w:jc w:val="center"/>
              <w:rPr>
                <w:rFonts w:ascii="Arial" w:hAnsi="Arial" w:cs="Arial"/>
                <w:sz w:val="24"/>
                <w:szCs w:val="24"/>
              </w:rPr>
            </w:pPr>
            <w:r>
              <w:rPr>
                <w:rFonts w:ascii="Arial" w:hAnsi="Arial" w:cs="Arial"/>
                <w:sz w:val="24"/>
                <w:szCs w:val="24"/>
              </w:rPr>
              <w:t>Clasificar y reciclar nuestra basura debe ser una obligación en cada hogar (A3)</w:t>
            </w:r>
          </w:p>
        </w:tc>
        <w:tc>
          <w:tcPr>
            <w:tcW w:w="1320" w:type="pct"/>
            <w:vAlign w:val="center"/>
          </w:tcPr>
          <w:p w14:paraId="592F51AC" w14:textId="77777777" w:rsidR="0093626A" w:rsidRDefault="00000000" w:rsidP="005915A7">
            <w:pPr>
              <w:spacing w:after="0" w:line="360" w:lineRule="auto"/>
              <w:jc w:val="center"/>
              <w:rPr>
                <w:rFonts w:ascii="Arial" w:hAnsi="Arial" w:cs="Arial"/>
                <w:sz w:val="24"/>
                <w:szCs w:val="24"/>
              </w:rPr>
            </w:pPr>
            <w:r>
              <w:rPr>
                <w:rFonts w:ascii="Arial" w:hAnsi="Arial" w:cs="Arial"/>
                <w:sz w:val="24"/>
                <w:szCs w:val="24"/>
              </w:rPr>
              <w:t>4</w:t>
            </w:r>
          </w:p>
        </w:tc>
      </w:tr>
      <w:tr w:rsidR="0093626A" w14:paraId="25A94BEB" w14:textId="77777777">
        <w:tc>
          <w:tcPr>
            <w:tcW w:w="1684" w:type="pct"/>
            <w:vAlign w:val="center"/>
          </w:tcPr>
          <w:p w14:paraId="198CC70A" w14:textId="77777777" w:rsidR="0093626A" w:rsidRDefault="00000000" w:rsidP="005915A7">
            <w:pPr>
              <w:spacing w:after="0" w:line="360" w:lineRule="auto"/>
              <w:jc w:val="center"/>
              <w:rPr>
                <w:rFonts w:ascii="Arial" w:hAnsi="Arial" w:cs="Arial"/>
                <w:sz w:val="24"/>
                <w:szCs w:val="24"/>
              </w:rPr>
            </w:pPr>
            <w:r>
              <w:rPr>
                <w:rFonts w:ascii="Arial" w:hAnsi="Arial" w:cs="Arial"/>
                <w:sz w:val="24"/>
                <w:szCs w:val="24"/>
              </w:rPr>
              <w:t>Norma subjetiva</w:t>
            </w:r>
          </w:p>
        </w:tc>
        <w:tc>
          <w:tcPr>
            <w:tcW w:w="1996" w:type="pct"/>
          </w:tcPr>
          <w:p w14:paraId="48BC9350" w14:textId="77777777" w:rsidR="0093626A" w:rsidRDefault="00000000" w:rsidP="005915A7">
            <w:pPr>
              <w:spacing w:after="0" w:line="360" w:lineRule="auto"/>
              <w:jc w:val="center"/>
              <w:rPr>
                <w:rFonts w:ascii="Arial" w:hAnsi="Arial" w:cs="Arial"/>
                <w:sz w:val="24"/>
                <w:szCs w:val="24"/>
              </w:rPr>
            </w:pPr>
            <w:r>
              <w:rPr>
                <w:rFonts w:ascii="Arial" w:hAnsi="Arial" w:cs="Arial"/>
                <w:sz w:val="24"/>
                <w:szCs w:val="24"/>
              </w:rPr>
              <w:t>Para mi familia es mejor reutilizar que comprar (NS2).</w:t>
            </w:r>
          </w:p>
        </w:tc>
        <w:tc>
          <w:tcPr>
            <w:tcW w:w="1320" w:type="pct"/>
            <w:vAlign w:val="center"/>
          </w:tcPr>
          <w:p w14:paraId="056C4540" w14:textId="77777777" w:rsidR="0093626A" w:rsidRDefault="00000000" w:rsidP="005915A7">
            <w:pPr>
              <w:spacing w:after="0" w:line="360" w:lineRule="auto"/>
              <w:jc w:val="center"/>
              <w:rPr>
                <w:rFonts w:ascii="Arial" w:hAnsi="Arial" w:cs="Arial"/>
                <w:sz w:val="24"/>
                <w:szCs w:val="24"/>
              </w:rPr>
            </w:pPr>
            <w:r>
              <w:rPr>
                <w:rFonts w:ascii="Arial" w:hAnsi="Arial" w:cs="Arial"/>
                <w:sz w:val="24"/>
                <w:szCs w:val="24"/>
              </w:rPr>
              <w:t>5</w:t>
            </w:r>
          </w:p>
        </w:tc>
      </w:tr>
      <w:tr w:rsidR="0093626A" w14:paraId="5134446F" w14:textId="77777777">
        <w:tc>
          <w:tcPr>
            <w:tcW w:w="1684" w:type="pct"/>
            <w:vAlign w:val="center"/>
          </w:tcPr>
          <w:p w14:paraId="6AD23B87" w14:textId="77777777" w:rsidR="0093626A" w:rsidRDefault="00000000" w:rsidP="005915A7">
            <w:pPr>
              <w:spacing w:after="0" w:line="360" w:lineRule="auto"/>
              <w:jc w:val="center"/>
              <w:rPr>
                <w:rFonts w:ascii="Arial" w:hAnsi="Arial" w:cs="Arial"/>
                <w:sz w:val="24"/>
                <w:szCs w:val="24"/>
              </w:rPr>
            </w:pPr>
            <w:r>
              <w:rPr>
                <w:rFonts w:ascii="Arial" w:hAnsi="Arial" w:cs="Arial"/>
                <w:sz w:val="24"/>
                <w:szCs w:val="24"/>
              </w:rPr>
              <w:t>Comportamiento percibido de control</w:t>
            </w:r>
          </w:p>
        </w:tc>
        <w:tc>
          <w:tcPr>
            <w:tcW w:w="1996" w:type="pct"/>
          </w:tcPr>
          <w:p w14:paraId="1E429CFC" w14:textId="77777777" w:rsidR="0093626A" w:rsidRDefault="00000000" w:rsidP="005915A7">
            <w:pPr>
              <w:spacing w:after="0" w:line="360" w:lineRule="auto"/>
              <w:jc w:val="center"/>
              <w:rPr>
                <w:rFonts w:ascii="Arial" w:hAnsi="Arial" w:cs="Arial"/>
                <w:sz w:val="24"/>
                <w:szCs w:val="24"/>
              </w:rPr>
            </w:pPr>
            <w:r>
              <w:rPr>
                <w:rFonts w:ascii="Arial" w:hAnsi="Arial" w:cs="Arial"/>
                <w:sz w:val="24"/>
                <w:szCs w:val="24"/>
              </w:rPr>
              <w:t>Creo que consumir solo productos que favorecen el medio ambiente es muy costoso (CC1)</w:t>
            </w:r>
          </w:p>
        </w:tc>
        <w:tc>
          <w:tcPr>
            <w:tcW w:w="1320" w:type="pct"/>
            <w:vAlign w:val="center"/>
          </w:tcPr>
          <w:p w14:paraId="7C8D3B99" w14:textId="77777777" w:rsidR="0093626A" w:rsidRDefault="00000000" w:rsidP="005915A7">
            <w:pPr>
              <w:spacing w:after="0" w:line="360" w:lineRule="auto"/>
              <w:jc w:val="center"/>
              <w:rPr>
                <w:rFonts w:ascii="Arial" w:hAnsi="Arial" w:cs="Arial"/>
                <w:sz w:val="24"/>
                <w:szCs w:val="24"/>
              </w:rPr>
            </w:pPr>
            <w:r>
              <w:rPr>
                <w:rFonts w:ascii="Arial" w:hAnsi="Arial" w:cs="Arial"/>
                <w:sz w:val="24"/>
                <w:szCs w:val="24"/>
              </w:rPr>
              <w:t>4</w:t>
            </w:r>
          </w:p>
        </w:tc>
      </w:tr>
      <w:tr w:rsidR="0093626A" w14:paraId="6F702346" w14:textId="77777777">
        <w:tc>
          <w:tcPr>
            <w:tcW w:w="1684" w:type="pct"/>
            <w:vAlign w:val="center"/>
          </w:tcPr>
          <w:p w14:paraId="5D3226DF" w14:textId="77777777" w:rsidR="0093626A" w:rsidRDefault="00000000" w:rsidP="005915A7">
            <w:pPr>
              <w:spacing w:after="0" w:line="360" w:lineRule="auto"/>
              <w:jc w:val="center"/>
              <w:rPr>
                <w:rFonts w:ascii="Arial" w:hAnsi="Arial" w:cs="Arial"/>
                <w:sz w:val="24"/>
                <w:szCs w:val="24"/>
              </w:rPr>
            </w:pPr>
            <w:r>
              <w:rPr>
                <w:rFonts w:ascii="Arial" w:hAnsi="Arial" w:cs="Arial"/>
                <w:sz w:val="24"/>
                <w:szCs w:val="24"/>
              </w:rPr>
              <w:lastRenderedPageBreak/>
              <w:t>Intención</w:t>
            </w:r>
          </w:p>
        </w:tc>
        <w:tc>
          <w:tcPr>
            <w:tcW w:w="1996" w:type="pct"/>
          </w:tcPr>
          <w:p w14:paraId="680A1CF7" w14:textId="77777777" w:rsidR="0093626A" w:rsidRDefault="00000000" w:rsidP="005915A7">
            <w:pPr>
              <w:spacing w:after="0" w:line="360" w:lineRule="auto"/>
              <w:jc w:val="center"/>
              <w:rPr>
                <w:rFonts w:ascii="Arial" w:hAnsi="Arial" w:cs="Arial"/>
                <w:sz w:val="24"/>
                <w:szCs w:val="24"/>
              </w:rPr>
            </w:pPr>
            <w:r>
              <w:rPr>
                <w:rFonts w:ascii="Arial" w:hAnsi="Arial" w:cs="Arial"/>
                <w:sz w:val="24"/>
                <w:szCs w:val="24"/>
              </w:rPr>
              <w:t>De ahora en adelante compraré productos que tengan un embalaje o envasado reciclable (I1)</w:t>
            </w:r>
          </w:p>
        </w:tc>
        <w:tc>
          <w:tcPr>
            <w:tcW w:w="1320" w:type="pct"/>
            <w:vAlign w:val="center"/>
          </w:tcPr>
          <w:p w14:paraId="67061568" w14:textId="77777777" w:rsidR="0093626A" w:rsidRDefault="00000000" w:rsidP="005915A7">
            <w:pPr>
              <w:spacing w:after="0" w:line="360" w:lineRule="auto"/>
              <w:jc w:val="center"/>
              <w:rPr>
                <w:rFonts w:ascii="Arial" w:hAnsi="Arial" w:cs="Arial"/>
                <w:sz w:val="24"/>
                <w:szCs w:val="24"/>
              </w:rPr>
            </w:pPr>
            <w:r>
              <w:rPr>
                <w:rFonts w:ascii="Arial" w:hAnsi="Arial" w:cs="Arial"/>
                <w:sz w:val="24"/>
                <w:szCs w:val="24"/>
              </w:rPr>
              <w:t>7</w:t>
            </w:r>
          </w:p>
        </w:tc>
      </w:tr>
    </w:tbl>
    <w:p w14:paraId="3C06353B" w14:textId="77777777" w:rsidR="0093626A" w:rsidRPr="00634580" w:rsidRDefault="00000000" w:rsidP="005915A7">
      <w:pPr>
        <w:spacing w:after="0" w:line="360" w:lineRule="auto"/>
        <w:jc w:val="both"/>
        <w:rPr>
          <w:rFonts w:ascii="Arial" w:hAnsi="Arial" w:cs="Arial"/>
          <w:i/>
          <w:iCs/>
          <w:sz w:val="20"/>
          <w:szCs w:val="20"/>
        </w:rPr>
      </w:pPr>
      <w:r w:rsidRPr="00634580">
        <w:rPr>
          <w:rFonts w:ascii="Arial" w:hAnsi="Arial" w:cs="Arial"/>
          <w:i/>
          <w:iCs/>
          <w:sz w:val="20"/>
          <w:szCs w:val="20"/>
        </w:rPr>
        <w:t>Nota: elaboración propia con información de Cristancho (2021).</w:t>
      </w:r>
    </w:p>
    <w:p w14:paraId="5534FB90" w14:textId="77777777" w:rsidR="0093626A" w:rsidRPr="00634580" w:rsidRDefault="00000000" w:rsidP="005915A7">
      <w:pPr>
        <w:spacing w:after="0" w:line="360" w:lineRule="auto"/>
        <w:jc w:val="both"/>
        <w:rPr>
          <w:rFonts w:ascii="Arial" w:hAnsi="Arial" w:cs="Arial"/>
          <w:i/>
          <w:iCs/>
          <w:sz w:val="20"/>
          <w:szCs w:val="20"/>
        </w:rPr>
      </w:pPr>
      <w:r w:rsidRPr="00634580">
        <w:rPr>
          <w:rFonts w:ascii="Arial" w:hAnsi="Arial" w:cs="Arial"/>
          <w:i/>
          <w:iCs/>
          <w:sz w:val="20"/>
          <w:szCs w:val="20"/>
        </w:rPr>
        <w:t>Se obtuvieron la media (M) y desviación estándar (DE) de los ítems. Se planteó el modelo teórico considerando los constructos de primer orden de la teoría de la conducta planeada con sus respectivos indicadores (Figura 2).</w:t>
      </w:r>
    </w:p>
    <w:p w14:paraId="6CA3A910" w14:textId="77777777" w:rsidR="0093626A" w:rsidRDefault="0093626A" w:rsidP="005915A7">
      <w:pPr>
        <w:spacing w:after="0" w:line="360" w:lineRule="auto"/>
        <w:jc w:val="both"/>
        <w:rPr>
          <w:rFonts w:ascii="Arial" w:hAnsi="Arial" w:cs="Arial"/>
          <w:sz w:val="24"/>
          <w:szCs w:val="24"/>
        </w:rPr>
      </w:pPr>
    </w:p>
    <w:p w14:paraId="5D99BE47" w14:textId="77777777" w:rsidR="0093626A" w:rsidRDefault="00000000" w:rsidP="005915A7">
      <w:pPr>
        <w:spacing w:after="0" w:line="360" w:lineRule="auto"/>
        <w:jc w:val="both"/>
        <w:rPr>
          <w:rFonts w:ascii="Arial" w:hAnsi="Arial" w:cs="Arial"/>
          <w:sz w:val="24"/>
          <w:szCs w:val="24"/>
        </w:rPr>
      </w:pPr>
      <w:r>
        <w:rPr>
          <w:rFonts w:ascii="Arial" w:hAnsi="Arial" w:cs="Arial"/>
          <w:sz w:val="24"/>
          <w:szCs w:val="24"/>
        </w:rPr>
        <w:t>Figura 2. Modelo conceptual</w:t>
      </w:r>
    </w:p>
    <w:p w14:paraId="6E25802F" w14:textId="77777777" w:rsidR="0093626A" w:rsidRDefault="00000000" w:rsidP="005915A7">
      <w:pPr>
        <w:spacing w:after="0" w:line="360" w:lineRule="auto"/>
        <w:jc w:val="center"/>
        <w:rPr>
          <w:rFonts w:ascii="Arial" w:hAnsi="Arial" w:cs="Arial"/>
          <w:sz w:val="24"/>
          <w:szCs w:val="24"/>
        </w:rPr>
      </w:pPr>
      <w:r w:rsidRPr="00634580">
        <w:rPr>
          <w:rFonts w:ascii="Arial" w:hAnsi="Arial" w:cs="Arial"/>
          <w:noProof/>
          <w:sz w:val="24"/>
          <w:szCs w:val="24"/>
        </w:rPr>
        <w:drawing>
          <wp:inline distT="0" distB="0" distL="0" distR="0" wp14:anchorId="04AC617F" wp14:editId="6424FDC8">
            <wp:extent cx="2821940" cy="2145030"/>
            <wp:effectExtent l="0" t="0" r="16510" b="7620"/>
            <wp:docPr id="13276533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653310" name="Imagen 1"/>
                    <pic:cNvPicPr>
                      <a:picLocks noChangeAspect="1"/>
                    </pic:cNvPicPr>
                  </pic:nvPicPr>
                  <pic:blipFill>
                    <a:blip r:embed="rId40"/>
                    <a:srcRect l="9934" t="16733" r="12296" b="15221"/>
                    <a:stretch>
                      <a:fillRect/>
                    </a:stretch>
                  </pic:blipFill>
                  <pic:spPr>
                    <a:xfrm>
                      <a:off x="0" y="0"/>
                      <a:ext cx="2822309" cy="2145290"/>
                    </a:xfrm>
                    <a:prstGeom prst="rect">
                      <a:avLst/>
                    </a:prstGeom>
                    <a:ln>
                      <a:noFill/>
                    </a:ln>
                  </pic:spPr>
                </pic:pic>
              </a:graphicData>
            </a:graphic>
          </wp:inline>
        </w:drawing>
      </w:r>
    </w:p>
    <w:p w14:paraId="2FB37579" w14:textId="77777777" w:rsidR="0093626A" w:rsidRDefault="00000000" w:rsidP="00634580">
      <w:pPr>
        <w:spacing w:after="0" w:line="360" w:lineRule="auto"/>
        <w:jc w:val="center"/>
        <w:rPr>
          <w:rFonts w:ascii="Arial" w:hAnsi="Arial" w:cs="Arial"/>
          <w:sz w:val="24"/>
          <w:szCs w:val="24"/>
        </w:rPr>
      </w:pPr>
      <w:r>
        <w:rPr>
          <w:rFonts w:ascii="Arial" w:hAnsi="Arial" w:cs="Arial"/>
          <w:sz w:val="24"/>
          <w:szCs w:val="24"/>
        </w:rPr>
        <w:t>Fuente: Elaboración Propia</w:t>
      </w:r>
    </w:p>
    <w:p w14:paraId="12AE7A1A" w14:textId="77777777" w:rsidR="0093626A" w:rsidRDefault="0093626A" w:rsidP="005915A7">
      <w:pPr>
        <w:spacing w:after="0" w:line="360" w:lineRule="auto"/>
        <w:jc w:val="both"/>
        <w:rPr>
          <w:rFonts w:ascii="Arial" w:hAnsi="Arial" w:cs="Arial"/>
          <w:sz w:val="24"/>
          <w:szCs w:val="24"/>
        </w:rPr>
      </w:pPr>
    </w:p>
    <w:p w14:paraId="4A8EF470" w14:textId="77777777" w:rsidR="0093626A" w:rsidRDefault="00000000" w:rsidP="00634580">
      <w:pPr>
        <w:spacing w:after="0" w:line="360" w:lineRule="auto"/>
        <w:ind w:firstLine="708"/>
        <w:jc w:val="both"/>
        <w:rPr>
          <w:rFonts w:ascii="Arial" w:hAnsi="Arial" w:cs="Arial"/>
          <w:sz w:val="24"/>
          <w:szCs w:val="24"/>
        </w:rPr>
      </w:pPr>
      <w:r>
        <w:rPr>
          <w:rFonts w:ascii="Arial" w:hAnsi="Arial" w:cs="Arial"/>
          <w:sz w:val="24"/>
          <w:szCs w:val="24"/>
        </w:rPr>
        <w:t xml:space="preserve">Una vez diseñado el modelo, se trabajaron ecuaciones estructurales (SEM) mismas que combinan la regresión múltiple y el análisis factorial confirmatorio y suelen emplearse para comprobar modelos teóricos con datos empíricos (Reyes-Ramírez et al., 2022). Contreras-Cuevas y Macías-Álvarez (2022) definen los pasos que se observan en la figura siguiente para aplicar el SEM: </w:t>
      </w:r>
    </w:p>
    <w:p w14:paraId="694440FB" w14:textId="77777777" w:rsidR="0093626A" w:rsidRDefault="00000000" w:rsidP="005915A7">
      <w:pPr>
        <w:spacing w:after="0" w:line="360" w:lineRule="auto"/>
        <w:jc w:val="both"/>
        <w:rPr>
          <w:rFonts w:ascii="Arial" w:hAnsi="Arial" w:cs="Arial"/>
          <w:sz w:val="24"/>
          <w:szCs w:val="24"/>
        </w:rPr>
      </w:pPr>
      <w:r>
        <w:rPr>
          <w:rFonts w:ascii="Arial" w:hAnsi="Arial" w:cs="Arial"/>
          <w:sz w:val="24"/>
          <w:szCs w:val="24"/>
        </w:rPr>
        <w:t>Figura 3. Aplicación de Ecuaciones Estructurales</w:t>
      </w:r>
    </w:p>
    <w:p w14:paraId="7A7DC448" w14:textId="77777777" w:rsidR="0093626A" w:rsidRDefault="00000000" w:rsidP="005915A7">
      <w:pPr>
        <w:spacing w:after="0" w:line="360" w:lineRule="auto"/>
        <w:jc w:val="both"/>
        <w:rPr>
          <w:rFonts w:ascii="Arial" w:hAnsi="Arial" w:cs="Arial"/>
          <w:sz w:val="24"/>
          <w:szCs w:val="24"/>
        </w:rPr>
      </w:pPr>
      <w:r>
        <w:rPr>
          <w:rFonts w:ascii="Arial" w:hAnsi="Arial" w:cs="Arial"/>
          <w:noProof/>
          <w:sz w:val="24"/>
          <w:szCs w:val="24"/>
          <w:lang w:eastAsia="es-MX"/>
        </w:rPr>
        <w:lastRenderedPageBreak/>
        <w:drawing>
          <wp:inline distT="0" distB="0" distL="0" distR="0" wp14:anchorId="7A28C7C8" wp14:editId="0985339A">
            <wp:extent cx="5486400" cy="3200400"/>
            <wp:effectExtent l="0" t="0" r="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14:paraId="45DFFBF6" w14:textId="77777777" w:rsidR="0093626A" w:rsidRPr="00634580" w:rsidRDefault="00000000" w:rsidP="005915A7">
      <w:pPr>
        <w:spacing w:after="0" w:line="360" w:lineRule="auto"/>
        <w:jc w:val="both"/>
        <w:rPr>
          <w:rFonts w:ascii="Arial" w:hAnsi="Arial" w:cs="Arial"/>
          <w:sz w:val="20"/>
          <w:szCs w:val="20"/>
        </w:rPr>
      </w:pPr>
      <w:r w:rsidRPr="00634580">
        <w:rPr>
          <w:rFonts w:ascii="Arial" w:hAnsi="Arial" w:cs="Arial"/>
          <w:sz w:val="20"/>
          <w:szCs w:val="20"/>
        </w:rPr>
        <w:t>Fuente: elaboración propia con información de Padilla-Bautista et al (2018).</w:t>
      </w:r>
    </w:p>
    <w:p w14:paraId="3CD1E54F" w14:textId="77777777" w:rsidR="0093626A" w:rsidRPr="00634580" w:rsidRDefault="0093626A" w:rsidP="005915A7">
      <w:pPr>
        <w:spacing w:after="0" w:line="360" w:lineRule="auto"/>
        <w:jc w:val="both"/>
        <w:rPr>
          <w:rFonts w:ascii="Arial" w:hAnsi="Arial" w:cs="Arial"/>
          <w:b/>
          <w:bCs/>
          <w:sz w:val="20"/>
          <w:szCs w:val="20"/>
        </w:rPr>
      </w:pPr>
    </w:p>
    <w:p w14:paraId="5B56D27A" w14:textId="77777777" w:rsidR="0093626A" w:rsidRDefault="00000000" w:rsidP="005915A7">
      <w:pPr>
        <w:spacing w:after="0" w:line="360" w:lineRule="auto"/>
        <w:jc w:val="both"/>
        <w:rPr>
          <w:rFonts w:ascii="Arial" w:hAnsi="Arial" w:cs="Arial"/>
          <w:b/>
          <w:bCs/>
          <w:sz w:val="24"/>
          <w:szCs w:val="24"/>
        </w:rPr>
      </w:pPr>
      <w:r>
        <w:rPr>
          <w:rFonts w:ascii="Arial" w:hAnsi="Arial" w:cs="Arial"/>
          <w:b/>
          <w:bCs/>
          <w:sz w:val="24"/>
          <w:szCs w:val="24"/>
        </w:rPr>
        <w:t>Validez del instrumento</w:t>
      </w:r>
    </w:p>
    <w:p w14:paraId="2CD576CD" w14:textId="77777777" w:rsidR="0093626A" w:rsidRDefault="00000000" w:rsidP="005915A7">
      <w:pPr>
        <w:spacing w:after="0" w:line="360" w:lineRule="auto"/>
        <w:jc w:val="both"/>
        <w:rPr>
          <w:rFonts w:ascii="Arial" w:hAnsi="Arial" w:cs="Arial"/>
          <w:sz w:val="24"/>
          <w:szCs w:val="24"/>
        </w:rPr>
      </w:pPr>
      <w:r>
        <w:rPr>
          <w:rFonts w:ascii="Arial" w:hAnsi="Arial" w:cs="Arial"/>
          <w:sz w:val="24"/>
          <w:szCs w:val="24"/>
        </w:rPr>
        <w:t>Pese a estar en español el instrumento original hubo que adaptar ciertas palabras para evitar regionalismos que pudiesen impedir la comprensión total del texto cuidando mantener la esencia original y la claridad de cada ítem. Hecho esto se solicitó a cinco expertos la revisión de cada pregunta para pronunciarse en torno a la congruencia y precisión de cada ítem.</w:t>
      </w:r>
    </w:p>
    <w:p w14:paraId="143B6035" w14:textId="77777777" w:rsidR="0093626A" w:rsidRDefault="0093626A" w:rsidP="005915A7">
      <w:pPr>
        <w:spacing w:after="0" w:line="360" w:lineRule="auto"/>
        <w:jc w:val="both"/>
        <w:rPr>
          <w:rFonts w:ascii="Arial" w:hAnsi="Arial" w:cs="Arial"/>
          <w:sz w:val="24"/>
          <w:szCs w:val="24"/>
        </w:rPr>
      </w:pPr>
    </w:p>
    <w:p w14:paraId="44E67A8A" w14:textId="77777777" w:rsidR="0093626A" w:rsidRDefault="00000000" w:rsidP="00634580">
      <w:pPr>
        <w:spacing w:after="0" w:line="360" w:lineRule="auto"/>
        <w:ind w:firstLine="708"/>
        <w:jc w:val="both"/>
        <w:rPr>
          <w:rFonts w:ascii="Arial" w:hAnsi="Arial" w:cs="Arial"/>
          <w:sz w:val="24"/>
          <w:szCs w:val="24"/>
        </w:rPr>
      </w:pPr>
      <w:r>
        <w:rPr>
          <w:rFonts w:ascii="Arial" w:hAnsi="Arial" w:cs="Arial"/>
          <w:sz w:val="24"/>
          <w:szCs w:val="24"/>
        </w:rPr>
        <w:t xml:space="preserve">La fiabilidad interna del instrumento se valoró a través del de Alfa de Cronbach (α) cuyo resultado para todo el cuestionario fue de 0.802, respecto a este Bucio-Gutiérrez et al. (2019) señalan que valores próximos a la unidad representan mayores niveles de fiabilidad y, en este sentido, Santana-Rodríguez et al. (2019) indican que el valor mínimo aceptable es 0.7 y, aunque las dimensiones presentaron un nivel de fiabilidad bajo, puede estar relacionado al número de ítems de cada dimensión sin que esto impida su uso. Además, considerando la naturaleza ordinal de las variables se complementó el análisis de la confiabilidad del instrumento calculando el Omega de McDonald´s (Ω) cuya interpretación es similar al Alfa de </w:t>
      </w:r>
      <w:r>
        <w:rPr>
          <w:rFonts w:ascii="Arial" w:hAnsi="Arial" w:cs="Arial"/>
          <w:sz w:val="24"/>
          <w:szCs w:val="24"/>
        </w:rPr>
        <w:lastRenderedPageBreak/>
        <w:t>Cronbach del cual se espera un resultado superior a 0.8 (Moscoso et al., 2019), para esta investigación fue de 0.832.</w:t>
      </w:r>
    </w:p>
    <w:p w14:paraId="58F7DD31" w14:textId="77777777" w:rsidR="0093626A" w:rsidRDefault="0093626A" w:rsidP="005915A7">
      <w:pPr>
        <w:spacing w:after="0" w:line="360" w:lineRule="auto"/>
        <w:jc w:val="both"/>
        <w:rPr>
          <w:rFonts w:ascii="Arial" w:hAnsi="Arial" w:cs="Arial"/>
          <w:sz w:val="24"/>
          <w:szCs w:val="24"/>
        </w:rPr>
      </w:pPr>
    </w:p>
    <w:p w14:paraId="37ED9192" w14:textId="77777777" w:rsidR="0093626A" w:rsidRDefault="00000000" w:rsidP="005915A7">
      <w:pPr>
        <w:spacing w:after="0" w:line="360" w:lineRule="auto"/>
        <w:jc w:val="both"/>
        <w:rPr>
          <w:rFonts w:ascii="Arial" w:hAnsi="Arial" w:cs="Arial"/>
          <w:sz w:val="24"/>
          <w:szCs w:val="24"/>
        </w:rPr>
      </w:pPr>
      <w:r>
        <w:rPr>
          <w:rFonts w:ascii="Arial" w:hAnsi="Arial" w:cs="Arial"/>
          <w:sz w:val="24"/>
          <w:szCs w:val="24"/>
        </w:rPr>
        <w:t>Tabla 3. Validez del instrumento</w:t>
      </w:r>
    </w:p>
    <w:tbl>
      <w:tblPr>
        <w:tblStyle w:val="Tablaconcuadrcula"/>
        <w:tblW w:w="5000" w:type="pct"/>
        <w:tblLook w:val="04A0" w:firstRow="1" w:lastRow="0" w:firstColumn="1" w:lastColumn="0" w:noHBand="0" w:noVBand="1"/>
      </w:tblPr>
      <w:tblGrid>
        <w:gridCol w:w="3822"/>
        <w:gridCol w:w="2269"/>
        <w:gridCol w:w="2737"/>
      </w:tblGrid>
      <w:tr w:rsidR="0093626A" w14:paraId="484ED980" w14:textId="77777777">
        <w:tc>
          <w:tcPr>
            <w:tcW w:w="2165" w:type="pct"/>
            <w:vAlign w:val="center"/>
          </w:tcPr>
          <w:p w14:paraId="2FF64FAD" w14:textId="77777777" w:rsidR="0093626A" w:rsidRDefault="00000000" w:rsidP="005915A7">
            <w:pPr>
              <w:spacing w:after="0" w:line="360" w:lineRule="auto"/>
              <w:jc w:val="center"/>
              <w:rPr>
                <w:rFonts w:ascii="Arial" w:hAnsi="Arial" w:cs="Arial"/>
                <w:sz w:val="24"/>
                <w:szCs w:val="24"/>
              </w:rPr>
            </w:pPr>
            <w:r>
              <w:rPr>
                <w:rFonts w:ascii="Arial" w:hAnsi="Arial" w:cs="Arial"/>
                <w:sz w:val="24"/>
                <w:szCs w:val="24"/>
              </w:rPr>
              <w:t>Dimensión</w:t>
            </w:r>
          </w:p>
        </w:tc>
        <w:tc>
          <w:tcPr>
            <w:tcW w:w="1285" w:type="pct"/>
            <w:vAlign w:val="center"/>
          </w:tcPr>
          <w:p w14:paraId="175B7E2F" w14:textId="77777777" w:rsidR="0093626A" w:rsidRDefault="00000000" w:rsidP="005915A7">
            <w:pPr>
              <w:spacing w:after="0" w:line="360" w:lineRule="auto"/>
              <w:jc w:val="center"/>
              <w:rPr>
                <w:rFonts w:ascii="Arial" w:hAnsi="Arial" w:cs="Arial"/>
                <w:sz w:val="24"/>
                <w:szCs w:val="24"/>
              </w:rPr>
            </w:pPr>
            <w:r>
              <w:rPr>
                <w:rFonts w:ascii="Arial" w:hAnsi="Arial" w:cs="Arial"/>
                <w:sz w:val="24"/>
                <w:szCs w:val="24"/>
              </w:rPr>
              <w:t>Α</w:t>
            </w:r>
          </w:p>
        </w:tc>
        <w:tc>
          <w:tcPr>
            <w:tcW w:w="1550" w:type="pct"/>
            <w:vAlign w:val="center"/>
          </w:tcPr>
          <w:p w14:paraId="2C049EDA" w14:textId="77777777" w:rsidR="0093626A" w:rsidRDefault="00000000" w:rsidP="005915A7">
            <w:pPr>
              <w:spacing w:after="0" w:line="360" w:lineRule="auto"/>
              <w:jc w:val="center"/>
              <w:rPr>
                <w:rFonts w:ascii="Arial" w:hAnsi="Arial" w:cs="Arial"/>
                <w:sz w:val="24"/>
                <w:szCs w:val="24"/>
              </w:rPr>
            </w:pPr>
            <w:r>
              <w:rPr>
                <w:rFonts w:ascii="Arial" w:hAnsi="Arial" w:cs="Arial"/>
                <w:sz w:val="24"/>
                <w:szCs w:val="24"/>
              </w:rPr>
              <w:t>Ω</w:t>
            </w:r>
          </w:p>
        </w:tc>
      </w:tr>
      <w:tr w:rsidR="0093626A" w14:paraId="17EDF3B4" w14:textId="77777777">
        <w:tc>
          <w:tcPr>
            <w:tcW w:w="2165" w:type="pct"/>
          </w:tcPr>
          <w:p w14:paraId="13FAE835" w14:textId="77777777" w:rsidR="0093626A" w:rsidRDefault="00000000" w:rsidP="005915A7">
            <w:pPr>
              <w:spacing w:after="0" w:line="360" w:lineRule="auto"/>
              <w:jc w:val="both"/>
              <w:rPr>
                <w:rFonts w:ascii="Arial" w:hAnsi="Arial" w:cs="Arial"/>
                <w:sz w:val="24"/>
                <w:szCs w:val="24"/>
              </w:rPr>
            </w:pPr>
            <w:r>
              <w:rPr>
                <w:rFonts w:ascii="Arial" w:hAnsi="Arial" w:cs="Arial"/>
                <w:sz w:val="24"/>
                <w:szCs w:val="24"/>
              </w:rPr>
              <w:t>Actitud</w:t>
            </w:r>
          </w:p>
        </w:tc>
        <w:tc>
          <w:tcPr>
            <w:tcW w:w="1285" w:type="pct"/>
          </w:tcPr>
          <w:p w14:paraId="1BAAF187" w14:textId="77777777" w:rsidR="0093626A" w:rsidRDefault="00000000" w:rsidP="005915A7">
            <w:pPr>
              <w:spacing w:after="0" w:line="360" w:lineRule="auto"/>
              <w:jc w:val="center"/>
              <w:rPr>
                <w:rFonts w:ascii="Arial" w:hAnsi="Arial" w:cs="Arial"/>
                <w:sz w:val="24"/>
                <w:szCs w:val="24"/>
              </w:rPr>
            </w:pPr>
            <w:r>
              <w:rPr>
                <w:rFonts w:ascii="Arial" w:hAnsi="Arial" w:cs="Arial"/>
                <w:sz w:val="24"/>
                <w:szCs w:val="24"/>
              </w:rPr>
              <w:t>0.753</w:t>
            </w:r>
          </w:p>
        </w:tc>
        <w:tc>
          <w:tcPr>
            <w:tcW w:w="1550" w:type="pct"/>
            <w:vAlign w:val="center"/>
          </w:tcPr>
          <w:p w14:paraId="08008B55" w14:textId="77777777" w:rsidR="0093626A" w:rsidRDefault="00000000" w:rsidP="005915A7">
            <w:pPr>
              <w:spacing w:after="0" w:line="360" w:lineRule="auto"/>
              <w:jc w:val="center"/>
              <w:rPr>
                <w:rFonts w:ascii="Arial" w:hAnsi="Arial" w:cs="Arial"/>
                <w:sz w:val="24"/>
                <w:szCs w:val="24"/>
              </w:rPr>
            </w:pPr>
            <w:r>
              <w:rPr>
                <w:rFonts w:ascii="Arial" w:hAnsi="Arial" w:cs="Arial"/>
                <w:sz w:val="24"/>
                <w:szCs w:val="24"/>
              </w:rPr>
              <w:t>0.769</w:t>
            </w:r>
          </w:p>
        </w:tc>
      </w:tr>
      <w:tr w:rsidR="0093626A" w14:paraId="06332065" w14:textId="77777777">
        <w:tc>
          <w:tcPr>
            <w:tcW w:w="2165" w:type="pct"/>
          </w:tcPr>
          <w:p w14:paraId="1EAB003B" w14:textId="77777777" w:rsidR="0093626A" w:rsidRDefault="00000000" w:rsidP="005915A7">
            <w:pPr>
              <w:spacing w:after="0" w:line="360" w:lineRule="auto"/>
              <w:jc w:val="both"/>
              <w:rPr>
                <w:rFonts w:ascii="Arial" w:hAnsi="Arial" w:cs="Arial"/>
                <w:sz w:val="24"/>
                <w:szCs w:val="24"/>
              </w:rPr>
            </w:pPr>
            <w:r>
              <w:rPr>
                <w:rFonts w:ascii="Arial" w:hAnsi="Arial" w:cs="Arial"/>
                <w:sz w:val="24"/>
                <w:szCs w:val="24"/>
              </w:rPr>
              <w:t>Norma subjetiva</w:t>
            </w:r>
          </w:p>
        </w:tc>
        <w:tc>
          <w:tcPr>
            <w:tcW w:w="1285" w:type="pct"/>
            <w:vAlign w:val="center"/>
          </w:tcPr>
          <w:p w14:paraId="2134A7FC" w14:textId="77777777" w:rsidR="0093626A" w:rsidRDefault="00000000" w:rsidP="005915A7">
            <w:pPr>
              <w:spacing w:after="0" w:line="360" w:lineRule="auto"/>
              <w:jc w:val="center"/>
              <w:rPr>
                <w:rFonts w:ascii="Arial" w:hAnsi="Arial" w:cs="Arial"/>
                <w:sz w:val="24"/>
                <w:szCs w:val="24"/>
              </w:rPr>
            </w:pPr>
            <w:r>
              <w:rPr>
                <w:rFonts w:ascii="Arial" w:hAnsi="Arial" w:cs="Arial"/>
                <w:sz w:val="24"/>
                <w:szCs w:val="24"/>
              </w:rPr>
              <w:t>0.805</w:t>
            </w:r>
          </w:p>
        </w:tc>
        <w:tc>
          <w:tcPr>
            <w:tcW w:w="1550" w:type="pct"/>
            <w:vAlign w:val="center"/>
          </w:tcPr>
          <w:p w14:paraId="7C1D2C22" w14:textId="77777777" w:rsidR="0093626A" w:rsidRDefault="00000000" w:rsidP="005915A7">
            <w:pPr>
              <w:spacing w:after="0" w:line="360" w:lineRule="auto"/>
              <w:jc w:val="center"/>
              <w:rPr>
                <w:rFonts w:ascii="Arial" w:hAnsi="Arial" w:cs="Arial"/>
                <w:sz w:val="24"/>
                <w:szCs w:val="24"/>
              </w:rPr>
            </w:pPr>
            <w:r>
              <w:rPr>
                <w:rFonts w:ascii="Arial" w:hAnsi="Arial" w:cs="Arial"/>
                <w:sz w:val="24"/>
                <w:szCs w:val="24"/>
              </w:rPr>
              <w:t>0.809</w:t>
            </w:r>
          </w:p>
        </w:tc>
      </w:tr>
      <w:tr w:rsidR="0093626A" w14:paraId="009E7523" w14:textId="77777777">
        <w:tc>
          <w:tcPr>
            <w:tcW w:w="2165" w:type="pct"/>
          </w:tcPr>
          <w:p w14:paraId="726E88E5" w14:textId="77777777" w:rsidR="0093626A" w:rsidRDefault="00000000" w:rsidP="005915A7">
            <w:pPr>
              <w:spacing w:after="0" w:line="360" w:lineRule="auto"/>
              <w:jc w:val="both"/>
              <w:rPr>
                <w:rFonts w:ascii="Arial" w:hAnsi="Arial" w:cs="Arial"/>
                <w:sz w:val="24"/>
                <w:szCs w:val="24"/>
              </w:rPr>
            </w:pPr>
            <w:r>
              <w:rPr>
                <w:rFonts w:ascii="Arial" w:hAnsi="Arial" w:cs="Arial"/>
                <w:sz w:val="24"/>
                <w:szCs w:val="24"/>
              </w:rPr>
              <w:t>Comportamiento percibido de control</w:t>
            </w:r>
          </w:p>
        </w:tc>
        <w:tc>
          <w:tcPr>
            <w:tcW w:w="1285" w:type="pct"/>
            <w:vAlign w:val="center"/>
          </w:tcPr>
          <w:p w14:paraId="1586C0F7" w14:textId="77777777" w:rsidR="0093626A" w:rsidRDefault="00000000" w:rsidP="005915A7">
            <w:pPr>
              <w:spacing w:after="0" w:line="360" w:lineRule="auto"/>
              <w:jc w:val="center"/>
              <w:rPr>
                <w:rFonts w:ascii="Arial" w:hAnsi="Arial" w:cs="Arial"/>
                <w:sz w:val="24"/>
                <w:szCs w:val="24"/>
              </w:rPr>
            </w:pPr>
            <w:r>
              <w:rPr>
                <w:rFonts w:ascii="Arial" w:hAnsi="Arial" w:cs="Arial"/>
                <w:sz w:val="24"/>
                <w:szCs w:val="24"/>
              </w:rPr>
              <w:t>0.793</w:t>
            </w:r>
          </w:p>
        </w:tc>
        <w:tc>
          <w:tcPr>
            <w:tcW w:w="1550" w:type="pct"/>
            <w:vAlign w:val="center"/>
          </w:tcPr>
          <w:p w14:paraId="6DA57C4D" w14:textId="77777777" w:rsidR="0093626A" w:rsidRDefault="00000000" w:rsidP="005915A7">
            <w:pPr>
              <w:spacing w:after="0" w:line="360" w:lineRule="auto"/>
              <w:jc w:val="center"/>
              <w:rPr>
                <w:rFonts w:ascii="Arial" w:hAnsi="Arial" w:cs="Arial"/>
                <w:sz w:val="24"/>
                <w:szCs w:val="24"/>
              </w:rPr>
            </w:pPr>
            <w:r>
              <w:rPr>
                <w:rFonts w:ascii="Arial" w:hAnsi="Arial" w:cs="Arial"/>
                <w:sz w:val="24"/>
                <w:szCs w:val="24"/>
              </w:rPr>
              <w:t>0.723</w:t>
            </w:r>
          </w:p>
        </w:tc>
      </w:tr>
      <w:tr w:rsidR="0093626A" w14:paraId="21966F54" w14:textId="77777777">
        <w:tc>
          <w:tcPr>
            <w:tcW w:w="2165" w:type="pct"/>
          </w:tcPr>
          <w:p w14:paraId="5A006733" w14:textId="77777777" w:rsidR="0093626A" w:rsidRDefault="00000000" w:rsidP="005915A7">
            <w:pPr>
              <w:spacing w:after="0" w:line="360" w:lineRule="auto"/>
              <w:jc w:val="both"/>
              <w:rPr>
                <w:rFonts w:ascii="Arial" w:hAnsi="Arial" w:cs="Arial"/>
                <w:sz w:val="24"/>
                <w:szCs w:val="24"/>
              </w:rPr>
            </w:pPr>
            <w:r>
              <w:rPr>
                <w:rFonts w:ascii="Arial" w:hAnsi="Arial" w:cs="Arial"/>
                <w:sz w:val="24"/>
                <w:szCs w:val="24"/>
              </w:rPr>
              <w:t>Total del instrumento</w:t>
            </w:r>
          </w:p>
        </w:tc>
        <w:tc>
          <w:tcPr>
            <w:tcW w:w="1285" w:type="pct"/>
          </w:tcPr>
          <w:p w14:paraId="5C84052A" w14:textId="77777777" w:rsidR="0093626A" w:rsidRDefault="00000000" w:rsidP="005915A7">
            <w:pPr>
              <w:spacing w:after="0" w:line="360" w:lineRule="auto"/>
              <w:jc w:val="center"/>
              <w:rPr>
                <w:rFonts w:ascii="Arial" w:hAnsi="Arial" w:cs="Arial"/>
                <w:sz w:val="24"/>
                <w:szCs w:val="24"/>
              </w:rPr>
            </w:pPr>
            <w:r>
              <w:rPr>
                <w:rFonts w:ascii="Arial" w:hAnsi="Arial" w:cs="Arial"/>
                <w:sz w:val="24"/>
                <w:szCs w:val="24"/>
              </w:rPr>
              <w:t>0.802</w:t>
            </w:r>
          </w:p>
        </w:tc>
        <w:tc>
          <w:tcPr>
            <w:tcW w:w="1550" w:type="pct"/>
            <w:vAlign w:val="center"/>
          </w:tcPr>
          <w:p w14:paraId="4FC7084E" w14:textId="77777777" w:rsidR="0093626A" w:rsidRDefault="00000000" w:rsidP="005915A7">
            <w:pPr>
              <w:spacing w:after="0" w:line="360" w:lineRule="auto"/>
              <w:jc w:val="center"/>
              <w:rPr>
                <w:rFonts w:ascii="Arial" w:hAnsi="Arial" w:cs="Arial"/>
                <w:sz w:val="24"/>
                <w:szCs w:val="24"/>
              </w:rPr>
            </w:pPr>
            <w:r>
              <w:rPr>
                <w:rFonts w:ascii="Arial" w:hAnsi="Arial" w:cs="Arial"/>
                <w:sz w:val="24"/>
                <w:szCs w:val="24"/>
              </w:rPr>
              <w:t>0.832</w:t>
            </w:r>
          </w:p>
        </w:tc>
      </w:tr>
    </w:tbl>
    <w:p w14:paraId="2339BEF0" w14:textId="77777777" w:rsidR="0093626A" w:rsidRPr="00634580" w:rsidRDefault="00000000" w:rsidP="005915A7">
      <w:pPr>
        <w:spacing w:after="0" w:line="360" w:lineRule="auto"/>
        <w:jc w:val="both"/>
        <w:rPr>
          <w:rFonts w:ascii="Arial" w:hAnsi="Arial" w:cs="Arial"/>
          <w:sz w:val="20"/>
          <w:szCs w:val="20"/>
        </w:rPr>
      </w:pPr>
      <w:r w:rsidRPr="00634580">
        <w:rPr>
          <w:rFonts w:ascii="Arial" w:hAnsi="Arial" w:cs="Arial"/>
          <w:sz w:val="20"/>
          <w:szCs w:val="20"/>
        </w:rPr>
        <w:t>Fuente: Elaboración propia</w:t>
      </w:r>
    </w:p>
    <w:p w14:paraId="795EB35C" w14:textId="77777777" w:rsidR="0093626A" w:rsidRDefault="0093626A" w:rsidP="005915A7">
      <w:pPr>
        <w:spacing w:after="0" w:line="360" w:lineRule="auto"/>
        <w:jc w:val="both"/>
        <w:rPr>
          <w:rFonts w:ascii="Arial" w:hAnsi="Arial" w:cs="Arial"/>
          <w:sz w:val="24"/>
          <w:szCs w:val="24"/>
        </w:rPr>
      </w:pPr>
    </w:p>
    <w:p w14:paraId="4113B6C6" w14:textId="77777777" w:rsidR="0093626A" w:rsidRDefault="00000000" w:rsidP="00634580">
      <w:pPr>
        <w:spacing w:after="0" w:line="360" w:lineRule="auto"/>
        <w:ind w:firstLine="708"/>
        <w:jc w:val="both"/>
        <w:rPr>
          <w:rFonts w:ascii="Arial" w:eastAsiaTheme="minorEastAsia" w:hAnsi="Arial" w:cs="Arial"/>
          <w:sz w:val="24"/>
          <w:szCs w:val="24"/>
        </w:rPr>
      </w:pPr>
      <w:r>
        <w:rPr>
          <w:rFonts w:ascii="Arial" w:eastAsiaTheme="minorEastAsia" w:hAnsi="Arial" w:cs="Arial"/>
          <w:sz w:val="24"/>
          <w:szCs w:val="24"/>
        </w:rPr>
        <w:t xml:space="preserve">A diferencia de otros modelos, en las SEM no se utiliza únicamente el valor de la Chi cuadrada como factor de decisión, esto debido a su alta sensibilidad al tamaño de la muestra, la normalidad de los datos, la linealidad, la multinormalidad y aditividad (Padilla-Bautista et al., 2018); por lo tanto deben calcularse diferentes indicadores (Tabla 4) en los que los valores esperados se pretenden superiores a 0.90, lo que señala que las variables latentes consideradas dentro del modelo no se correlacionan entre sí (Contreras-Cuevas y Macías-Álvarez, 2022). </w:t>
      </w:r>
    </w:p>
    <w:p w14:paraId="2C57A891" w14:textId="77777777" w:rsidR="0093626A" w:rsidRDefault="0093626A" w:rsidP="005915A7">
      <w:pPr>
        <w:spacing w:after="0" w:line="360" w:lineRule="auto"/>
        <w:jc w:val="both"/>
        <w:rPr>
          <w:rFonts w:ascii="Arial" w:hAnsi="Arial" w:cs="Arial"/>
          <w:sz w:val="24"/>
          <w:szCs w:val="24"/>
        </w:rPr>
      </w:pPr>
    </w:p>
    <w:p w14:paraId="39EA85F6" w14:textId="77777777" w:rsidR="0093626A" w:rsidRDefault="00000000" w:rsidP="005915A7">
      <w:pPr>
        <w:spacing w:after="0" w:line="360" w:lineRule="auto"/>
        <w:jc w:val="both"/>
        <w:rPr>
          <w:rFonts w:ascii="Arial" w:hAnsi="Arial" w:cs="Arial"/>
          <w:sz w:val="24"/>
          <w:szCs w:val="24"/>
        </w:rPr>
      </w:pPr>
      <w:r>
        <w:rPr>
          <w:rFonts w:ascii="Arial" w:hAnsi="Arial" w:cs="Arial"/>
          <w:sz w:val="24"/>
          <w:szCs w:val="24"/>
        </w:rPr>
        <w:t>Tabla 4. Índices de evaluación</w:t>
      </w:r>
    </w:p>
    <w:tbl>
      <w:tblPr>
        <w:tblW w:w="0" w:type="auto"/>
        <w:jc w:val="center"/>
        <w:tblCellMar>
          <w:left w:w="70" w:type="dxa"/>
          <w:right w:w="70" w:type="dxa"/>
        </w:tblCellMar>
        <w:tblLook w:val="04A0" w:firstRow="1" w:lastRow="0" w:firstColumn="1" w:lastColumn="0" w:noHBand="0" w:noVBand="1"/>
      </w:tblPr>
      <w:tblGrid>
        <w:gridCol w:w="4642"/>
        <w:gridCol w:w="1154"/>
        <w:gridCol w:w="2489"/>
      </w:tblGrid>
      <w:tr w:rsidR="0093626A" w14:paraId="3539F866" w14:textId="77777777">
        <w:trPr>
          <w:cantSplit/>
          <w:trHeight w:val="315"/>
          <w:jc w:val="center"/>
        </w:trPr>
        <w:tc>
          <w:tcPr>
            <w:tcW w:w="0" w:type="auto"/>
            <w:tcBorders>
              <w:top w:val="single" w:sz="4" w:space="0" w:color="auto"/>
              <w:left w:val="nil"/>
              <w:bottom w:val="single" w:sz="4" w:space="0" w:color="auto"/>
              <w:right w:val="nil"/>
            </w:tcBorders>
            <w:noWrap/>
            <w:vAlign w:val="center"/>
          </w:tcPr>
          <w:p w14:paraId="75220C8D" w14:textId="77777777" w:rsidR="0093626A" w:rsidRDefault="00000000" w:rsidP="005915A7">
            <w:pPr>
              <w:spacing w:after="0" w:line="360" w:lineRule="auto"/>
              <w:jc w:val="center"/>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Índice</w:t>
            </w:r>
          </w:p>
        </w:tc>
        <w:tc>
          <w:tcPr>
            <w:tcW w:w="0" w:type="auto"/>
            <w:tcBorders>
              <w:top w:val="single" w:sz="4" w:space="0" w:color="auto"/>
              <w:left w:val="nil"/>
              <w:bottom w:val="single" w:sz="4" w:space="0" w:color="auto"/>
              <w:right w:val="nil"/>
            </w:tcBorders>
            <w:vAlign w:val="center"/>
          </w:tcPr>
          <w:p w14:paraId="3648636D" w14:textId="77777777" w:rsidR="0093626A" w:rsidRDefault="00000000" w:rsidP="005915A7">
            <w:pPr>
              <w:spacing w:after="0" w:line="360" w:lineRule="auto"/>
              <w:jc w:val="center"/>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Acrónimo</w:t>
            </w:r>
          </w:p>
        </w:tc>
        <w:tc>
          <w:tcPr>
            <w:tcW w:w="0" w:type="auto"/>
            <w:tcBorders>
              <w:top w:val="single" w:sz="4" w:space="0" w:color="auto"/>
              <w:left w:val="nil"/>
              <w:bottom w:val="single" w:sz="4" w:space="0" w:color="auto"/>
              <w:right w:val="nil"/>
            </w:tcBorders>
            <w:noWrap/>
            <w:vAlign w:val="center"/>
          </w:tcPr>
          <w:p w14:paraId="121B1D26" w14:textId="77777777" w:rsidR="0093626A" w:rsidRDefault="00000000" w:rsidP="005915A7">
            <w:pPr>
              <w:spacing w:after="0" w:line="360" w:lineRule="auto"/>
              <w:jc w:val="center"/>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Valor esperado</w:t>
            </w:r>
          </w:p>
        </w:tc>
      </w:tr>
      <w:tr w:rsidR="0093626A" w14:paraId="0F50624C" w14:textId="77777777">
        <w:trPr>
          <w:trHeight w:val="315"/>
          <w:jc w:val="center"/>
        </w:trPr>
        <w:tc>
          <w:tcPr>
            <w:tcW w:w="0" w:type="auto"/>
            <w:tcBorders>
              <w:top w:val="nil"/>
              <w:left w:val="nil"/>
              <w:bottom w:val="nil"/>
              <w:right w:val="nil"/>
            </w:tcBorders>
            <w:noWrap/>
            <w:vAlign w:val="center"/>
          </w:tcPr>
          <w:p w14:paraId="0BFB205F" w14:textId="77777777" w:rsidR="0093626A" w:rsidRDefault="00000000" w:rsidP="005915A7">
            <w:pPr>
              <w:spacing w:after="0" w:line="360" w:lineRule="auto"/>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 xml:space="preserve">Chi cuadrada </w:t>
            </w:r>
          </w:p>
        </w:tc>
        <w:tc>
          <w:tcPr>
            <w:tcW w:w="0" w:type="auto"/>
            <w:tcBorders>
              <w:top w:val="nil"/>
              <w:left w:val="nil"/>
              <w:bottom w:val="nil"/>
              <w:right w:val="nil"/>
            </w:tcBorders>
            <w:vAlign w:val="center"/>
          </w:tcPr>
          <w:p w14:paraId="3C15A2A5" w14:textId="77777777" w:rsidR="0093626A" w:rsidRDefault="00000000" w:rsidP="005915A7">
            <w:pPr>
              <w:spacing w:after="0" w:line="360" w:lineRule="auto"/>
              <w:jc w:val="center"/>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X</w:t>
            </w:r>
            <w:r>
              <w:rPr>
                <w:rFonts w:ascii="Arial" w:eastAsia="Times New Roman" w:hAnsi="Arial" w:cs="Arial"/>
                <w:color w:val="000000"/>
                <w:kern w:val="0"/>
                <w:sz w:val="24"/>
                <w:szCs w:val="24"/>
                <w:vertAlign w:val="superscript"/>
                <w:lang w:eastAsia="es-MX"/>
                <w14:ligatures w14:val="none"/>
              </w:rPr>
              <w:t>2</w:t>
            </w:r>
          </w:p>
        </w:tc>
        <w:tc>
          <w:tcPr>
            <w:tcW w:w="0" w:type="auto"/>
            <w:tcBorders>
              <w:top w:val="nil"/>
              <w:left w:val="nil"/>
              <w:bottom w:val="nil"/>
              <w:right w:val="nil"/>
            </w:tcBorders>
            <w:noWrap/>
            <w:vAlign w:val="center"/>
          </w:tcPr>
          <w:p w14:paraId="250D6E62" w14:textId="77777777" w:rsidR="0093626A" w:rsidRDefault="00000000" w:rsidP="005915A7">
            <w:pPr>
              <w:spacing w:after="0" w:line="360" w:lineRule="auto"/>
              <w:jc w:val="right"/>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 0.05 Significante</w:t>
            </w:r>
          </w:p>
        </w:tc>
      </w:tr>
      <w:tr w:rsidR="0093626A" w14:paraId="308B8E6A" w14:textId="77777777">
        <w:trPr>
          <w:trHeight w:val="315"/>
          <w:jc w:val="center"/>
        </w:trPr>
        <w:tc>
          <w:tcPr>
            <w:tcW w:w="0" w:type="auto"/>
            <w:tcBorders>
              <w:top w:val="nil"/>
              <w:left w:val="nil"/>
              <w:bottom w:val="nil"/>
              <w:right w:val="nil"/>
            </w:tcBorders>
            <w:noWrap/>
            <w:vAlign w:val="center"/>
          </w:tcPr>
          <w:p w14:paraId="19D7B608" w14:textId="77777777" w:rsidR="0093626A" w:rsidRDefault="00000000" w:rsidP="005915A7">
            <w:pPr>
              <w:spacing w:after="0" w:line="360" w:lineRule="auto"/>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Grados de libertad</w:t>
            </w:r>
          </w:p>
        </w:tc>
        <w:tc>
          <w:tcPr>
            <w:tcW w:w="0" w:type="auto"/>
            <w:tcBorders>
              <w:top w:val="nil"/>
              <w:left w:val="nil"/>
              <w:bottom w:val="nil"/>
              <w:right w:val="nil"/>
            </w:tcBorders>
            <w:vAlign w:val="center"/>
          </w:tcPr>
          <w:p w14:paraId="036F2222" w14:textId="77777777" w:rsidR="0093626A" w:rsidRDefault="00000000" w:rsidP="005915A7">
            <w:pPr>
              <w:spacing w:after="0" w:line="360" w:lineRule="auto"/>
              <w:jc w:val="center"/>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DF</w:t>
            </w:r>
          </w:p>
        </w:tc>
        <w:tc>
          <w:tcPr>
            <w:tcW w:w="0" w:type="auto"/>
            <w:tcBorders>
              <w:top w:val="nil"/>
              <w:left w:val="nil"/>
              <w:bottom w:val="nil"/>
              <w:right w:val="nil"/>
            </w:tcBorders>
            <w:noWrap/>
            <w:vAlign w:val="center"/>
          </w:tcPr>
          <w:p w14:paraId="597D21EE" w14:textId="77777777" w:rsidR="0093626A" w:rsidRDefault="00000000" w:rsidP="005915A7">
            <w:pPr>
              <w:spacing w:after="0" w:line="360" w:lineRule="auto"/>
              <w:jc w:val="right"/>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 0</w:t>
            </w:r>
          </w:p>
        </w:tc>
      </w:tr>
      <w:tr w:rsidR="0093626A" w14:paraId="73521322" w14:textId="77777777">
        <w:trPr>
          <w:trHeight w:val="315"/>
          <w:jc w:val="center"/>
        </w:trPr>
        <w:tc>
          <w:tcPr>
            <w:tcW w:w="0" w:type="auto"/>
            <w:tcBorders>
              <w:top w:val="nil"/>
              <w:left w:val="nil"/>
              <w:bottom w:val="nil"/>
              <w:right w:val="nil"/>
            </w:tcBorders>
            <w:noWrap/>
            <w:vAlign w:val="center"/>
          </w:tcPr>
          <w:p w14:paraId="74E34202" w14:textId="77777777" w:rsidR="0093626A" w:rsidRDefault="00000000" w:rsidP="005915A7">
            <w:pPr>
              <w:spacing w:after="0" w:line="360" w:lineRule="auto"/>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Discrepancia entre χ2 y grados de libertad</w:t>
            </w:r>
          </w:p>
        </w:tc>
        <w:tc>
          <w:tcPr>
            <w:tcW w:w="0" w:type="auto"/>
            <w:tcBorders>
              <w:top w:val="nil"/>
              <w:left w:val="nil"/>
              <w:bottom w:val="nil"/>
              <w:right w:val="nil"/>
            </w:tcBorders>
            <w:vAlign w:val="center"/>
          </w:tcPr>
          <w:p w14:paraId="4D684E32" w14:textId="77777777" w:rsidR="0093626A" w:rsidRDefault="00000000" w:rsidP="005915A7">
            <w:pPr>
              <w:spacing w:after="0" w:line="360" w:lineRule="auto"/>
              <w:jc w:val="center"/>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CMIN/DF</w:t>
            </w:r>
          </w:p>
        </w:tc>
        <w:tc>
          <w:tcPr>
            <w:tcW w:w="0" w:type="auto"/>
            <w:tcBorders>
              <w:top w:val="nil"/>
              <w:left w:val="nil"/>
              <w:bottom w:val="nil"/>
              <w:right w:val="nil"/>
            </w:tcBorders>
            <w:noWrap/>
            <w:vAlign w:val="center"/>
          </w:tcPr>
          <w:p w14:paraId="358CBD97" w14:textId="77777777" w:rsidR="0093626A" w:rsidRDefault="00000000" w:rsidP="005915A7">
            <w:pPr>
              <w:spacing w:after="0" w:line="360" w:lineRule="auto"/>
              <w:jc w:val="right"/>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 3 Bueno</w:t>
            </w:r>
          </w:p>
        </w:tc>
      </w:tr>
      <w:tr w:rsidR="0093626A" w14:paraId="076C8E5D" w14:textId="77777777">
        <w:trPr>
          <w:trHeight w:val="315"/>
          <w:jc w:val="center"/>
        </w:trPr>
        <w:tc>
          <w:tcPr>
            <w:tcW w:w="0" w:type="auto"/>
            <w:tcBorders>
              <w:top w:val="nil"/>
              <w:left w:val="nil"/>
              <w:bottom w:val="nil"/>
              <w:right w:val="nil"/>
            </w:tcBorders>
            <w:noWrap/>
            <w:vAlign w:val="center"/>
          </w:tcPr>
          <w:p w14:paraId="2EB4F1EB" w14:textId="77777777" w:rsidR="0093626A" w:rsidRDefault="00000000" w:rsidP="005915A7">
            <w:pPr>
              <w:spacing w:after="0" w:line="360" w:lineRule="auto"/>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 xml:space="preserve">Índice residual de la raíz cuadrada media </w:t>
            </w:r>
          </w:p>
        </w:tc>
        <w:tc>
          <w:tcPr>
            <w:tcW w:w="0" w:type="auto"/>
            <w:tcBorders>
              <w:top w:val="nil"/>
              <w:left w:val="nil"/>
              <w:bottom w:val="nil"/>
              <w:right w:val="nil"/>
            </w:tcBorders>
            <w:vAlign w:val="center"/>
          </w:tcPr>
          <w:p w14:paraId="6EB193DE" w14:textId="77777777" w:rsidR="0093626A" w:rsidRDefault="00000000" w:rsidP="005915A7">
            <w:pPr>
              <w:spacing w:after="0" w:line="360" w:lineRule="auto"/>
              <w:jc w:val="center"/>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RMR</w:t>
            </w:r>
          </w:p>
        </w:tc>
        <w:tc>
          <w:tcPr>
            <w:tcW w:w="0" w:type="auto"/>
            <w:tcBorders>
              <w:top w:val="nil"/>
              <w:left w:val="nil"/>
              <w:bottom w:val="nil"/>
              <w:right w:val="nil"/>
            </w:tcBorders>
            <w:noWrap/>
            <w:vAlign w:val="center"/>
          </w:tcPr>
          <w:p w14:paraId="2D82A123" w14:textId="77777777" w:rsidR="0093626A" w:rsidRDefault="00000000" w:rsidP="005915A7">
            <w:pPr>
              <w:spacing w:after="0" w:line="360" w:lineRule="auto"/>
              <w:jc w:val="right"/>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Lo más cercano a 0</w:t>
            </w:r>
          </w:p>
        </w:tc>
      </w:tr>
      <w:tr w:rsidR="0093626A" w14:paraId="2C95C635" w14:textId="77777777">
        <w:trPr>
          <w:trHeight w:val="315"/>
          <w:jc w:val="center"/>
        </w:trPr>
        <w:tc>
          <w:tcPr>
            <w:tcW w:w="0" w:type="auto"/>
            <w:tcBorders>
              <w:top w:val="nil"/>
              <w:left w:val="nil"/>
              <w:bottom w:val="nil"/>
              <w:right w:val="nil"/>
            </w:tcBorders>
            <w:noWrap/>
            <w:vAlign w:val="center"/>
          </w:tcPr>
          <w:p w14:paraId="6A9E46AC" w14:textId="77777777" w:rsidR="0093626A" w:rsidRDefault="00000000" w:rsidP="005915A7">
            <w:pPr>
              <w:spacing w:after="0" w:line="360" w:lineRule="auto"/>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 xml:space="preserve">Índice de bondad de ajuste de parsimonia </w:t>
            </w:r>
          </w:p>
        </w:tc>
        <w:tc>
          <w:tcPr>
            <w:tcW w:w="0" w:type="auto"/>
            <w:tcBorders>
              <w:top w:val="nil"/>
              <w:left w:val="nil"/>
              <w:bottom w:val="nil"/>
              <w:right w:val="nil"/>
            </w:tcBorders>
            <w:vAlign w:val="center"/>
          </w:tcPr>
          <w:p w14:paraId="550A19DD" w14:textId="77777777" w:rsidR="0093626A" w:rsidRDefault="00000000" w:rsidP="005915A7">
            <w:pPr>
              <w:spacing w:after="0" w:line="360" w:lineRule="auto"/>
              <w:jc w:val="center"/>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PGFI</w:t>
            </w:r>
          </w:p>
        </w:tc>
        <w:tc>
          <w:tcPr>
            <w:tcW w:w="0" w:type="auto"/>
            <w:tcBorders>
              <w:top w:val="nil"/>
              <w:left w:val="nil"/>
              <w:bottom w:val="nil"/>
              <w:right w:val="nil"/>
            </w:tcBorders>
            <w:noWrap/>
            <w:vAlign w:val="center"/>
          </w:tcPr>
          <w:p w14:paraId="7F8F03E8" w14:textId="77777777" w:rsidR="0093626A" w:rsidRDefault="00000000" w:rsidP="005915A7">
            <w:pPr>
              <w:spacing w:after="0" w:line="360" w:lineRule="auto"/>
              <w:jc w:val="right"/>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0.50 - 0.95 Aceptable</w:t>
            </w:r>
          </w:p>
        </w:tc>
      </w:tr>
      <w:tr w:rsidR="0093626A" w14:paraId="4858C657" w14:textId="77777777">
        <w:trPr>
          <w:trHeight w:val="315"/>
          <w:jc w:val="center"/>
        </w:trPr>
        <w:tc>
          <w:tcPr>
            <w:tcW w:w="0" w:type="auto"/>
            <w:tcBorders>
              <w:top w:val="nil"/>
              <w:left w:val="nil"/>
              <w:bottom w:val="nil"/>
              <w:right w:val="nil"/>
            </w:tcBorders>
            <w:noWrap/>
            <w:vAlign w:val="center"/>
          </w:tcPr>
          <w:p w14:paraId="08E19A87" w14:textId="77777777" w:rsidR="0093626A" w:rsidRDefault="00000000" w:rsidP="005915A7">
            <w:pPr>
              <w:spacing w:after="0" w:line="360" w:lineRule="auto"/>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 xml:space="preserve">Índice de ajuste comparativo </w:t>
            </w:r>
          </w:p>
        </w:tc>
        <w:tc>
          <w:tcPr>
            <w:tcW w:w="0" w:type="auto"/>
            <w:tcBorders>
              <w:top w:val="nil"/>
              <w:left w:val="nil"/>
              <w:bottom w:val="nil"/>
              <w:right w:val="nil"/>
            </w:tcBorders>
            <w:vAlign w:val="center"/>
          </w:tcPr>
          <w:p w14:paraId="51F1D428" w14:textId="77777777" w:rsidR="0093626A" w:rsidRDefault="00000000" w:rsidP="005915A7">
            <w:pPr>
              <w:spacing w:after="0" w:line="360" w:lineRule="auto"/>
              <w:jc w:val="center"/>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CFI</w:t>
            </w:r>
          </w:p>
        </w:tc>
        <w:tc>
          <w:tcPr>
            <w:tcW w:w="0" w:type="auto"/>
            <w:tcBorders>
              <w:top w:val="nil"/>
              <w:left w:val="nil"/>
              <w:bottom w:val="nil"/>
              <w:right w:val="nil"/>
            </w:tcBorders>
            <w:noWrap/>
            <w:vAlign w:val="center"/>
          </w:tcPr>
          <w:p w14:paraId="4564D554" w14:textId="77777777" w:rsidR="0093626A" w:rsidRDefault="00000000" w:rsidP="005915A7">
            <w:pPr>
              <w:spacing w:after="0" w:line="360" w:lineRule="auto"/>
              <w:jc w:val="right"/>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 0.95 Muy bien</w:t>
            </w:r>
          </w:p>
        </w:tc>
      </w:tr>
      <w:tr w:rsidR="0093626A" w14:paraId="7F972BBF" w14:textId="77777777">
        <w:trPr>
          <w:trHeight w:val="315"/>
          <w:jc w:val="center"/>
        </w:trPr>
        <w:tc>
          <w:tcPr>
            <w:tcW w:w="0" w:type="auto"/>
            <w:tcBorders>
              <w:top w:val="nil"/>
              <w:left w:val="nil"/>
              <w:bottom w:val="nil"/>
              <w:right w:val="nil"/>
            </w:tcBorders>
            <w:noWrap/>
            <w:vAlign w:val="center"/>
          </w:tcPr>
          <w:p w14:paraId="10BDD4BF" w14:textId="77777777" w:rsidR="0093626A" w:rsidRDefault="00000000" w:rsidP="005915A7">
            <w:pPr>
              <w:spacing w:after="0" w:line="360" w:lineRule="auto"/>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Índice de ajuste incremental</w:t>
            </w:r>
          </w:p>
        </w:tc>
        <w:tc>
          <w:tcPr>
            <w:tcW w:w="0" w:type="auto"/>
            <w:tcBorders>
              <w:top w:val="nil"/>
              <w:left w:val="nil"/>
              <w:bottom w:val="nil"/>
              <w:right w:val="nil"/>
            </w:tcBorders>
            <w:vAlign w:val="center"/>
          </w:tcPr>
          <w:p w14:paraId="5D974E65" w14:textId="77777777" w:rsidR="0093626A" w:rsidRDefault="00000000" w:rsidP="005915A7">
            <w:pPr>
              <w:spacing w:after="0" w:line="360" w:lineRule="auto"/>
              <w:jc w:val="center"/>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IFI</w:t>
            </w:r>
          </w:p>
        </w:tc>
        <w:tc>
          <w:tcPr>
            <w:tcW w:w="0" w:type="auto"/>
            <w:tcBorders>
              <w:top w:val="nil"/>
              <w:left w:val="nil"/>
              <w:bottom w:val="nil"/>
              <w:right w:val="nil"/>
            </w:tcBorders>
            <w:noWrap/>
            <w:vAlign w:val="center"/>
          </w:tcPr>
          <w:p w14:paraId="10A75C93" w14:textId="77777777" w:rsidR="0093626A" w:rsidRDefault="00000000" w:rsidP="005915A7">
            <w:pPr>
              <w:spacing w:after="0" w:line="360" w:lineRule="auto"/>
              <w:jc w:val="right"/>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0.90 – 1</w:t>
            </w:r>
          </w:p>
        </w:tc>
      </w:tr>
      <w:tr w:rsidR="0093626A" w14:paraId="7009936D" w14:textId="77777777">
        <w:trPr>
          <w:cantSplit/>
          <w:trHeight w:val="315"/>
          <w:jc w:val="center"/>
        </w:trPr>
        <w:tc>
          <w:tcPr>
            <w:tcW w:w="0" w:type="auto"/>
            <w:tcBorders>
              <w:top w:val="nil"/>
              <w:left w:val="nil"/>
              <w:right w:val="nil"/>
            </w:tcBorders>
            <w:noWrap/>
            <w:vAlign w:val="center"/>
          </w:tcPr>
          <w:p w14:paraId="65762F01" w14:textId="77777777" w:rsidR="0093626A" w:rsidRDefault="00000000" w:rsidP="005915A7">
            <w:pPr>
              <w:spacing w:after="0" w:line="360" w:lineRule="auto"/>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 xml:space="preserve">Error de Aproximación Cuadrático Medio </w:t>
            </w:r>
          </w:p>
        </w:tc>
        <w:tc>
          <w:tcPr>
            <w:tcW w:w="0" w:type="auto"/>
            <w:tcBorders>
              <w:top w:val="nil"/>
              <w:left w:val="nil"/>
              <w:right w:val="nil"/>
            </w:tcBorders>
            <w:vAlign w:val="center"/>
          </w:tcPr>
          <w:p w14:paraId="01F61382" w14:textId="77777777" w:rsidR="0093626A" w:rsidRDefault="00000000" w:rsidP="005915A7">
            <w:pPr>
              <w:spacing w:after="0" w:line="360" w:lineRule="auto"/>
              <w:jc w:val="center"/>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RMSEA</w:t>
            </w:r>
          </w:p>
        </w:tc>
        <w:tc>
          <w:tcPr>
            <w:tcW w:w="0" w:type="auto"/>
            <w:tcBorders>
              <w:top w:val="nil"/>
              <w:left w:val="nil"/>
              <w:right w:val="nil"/>
            </w:tcBorders>
            <w:noWrap/>
            <w:vAlign w:val="center"/>
          </w:tcPr>
          <w:p w14:paraId="5857030B" w14:textId="77777777" w:rsidR="0093626A" w:rsidRDefault="00000000" w:rsidP="005915A7">
            <w:pPr>
              <w:spacing w:after="0" w:line="360" w:lineRule="auto"/>
              <w:jc w:val="right"/>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 0.05 Bueno</w:t>
            </w:r>
          </w:p>
          <w:p w14:paraId="1D1CAC45" w14:textId="77777777" w:rsidR="0093626A" w:rsidRDefault="00000000" w:rsidP="005915A7">
            <w:pPr>
              <w:spacing w:after="0" w:line="360" w:lineRule="auto"/>
              <w:jc w:val="right"/>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0.05 a 0.10 Moderado</w:t>
            </w:r>
          </w:p>
        </w:tc>
      </w:tr>
      <w:tr w:rsidR="0093626A" w14:paraId="5CBA9A6D" w14:textId="77777777">
        <w:trPr>
          <w:trHeight w:val="315"/>
          <w:jc w:val="center"/>
        </w:trPr>
        <w:tc>
          <w:tcPr>
            <w:tcW w:w="0" w:type="auto"/>
            <w:tcBorders>
              <w:top w:val="nil"/>
              <w:left w:val="nil"/>
              <w:bottom w:val="single" w:sz="4" w:space="0" w:color="auto"/>
              <w:right w:val="nil"/>
            </w:tcBorders>
            <w:noWrap/>
            <w:vAlign w:val="center"/>
          </w:tcPr>
          <w:p w14:paraId="3A69BDED" w14:textId="77777777" w:rsidR="0093626A" w:rsidRDefault="00000000" w:rsidP="005915A7">
            <w:pPr>
              <w:spacing w:after="0" w:line="360" w:lineRule="auto"/>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lastRenderedPageBreak/>
              <w:t xml:space="preserve">Índice no normalizado de ajuste </w:t>
            </w:r>
          </w:p>
        </w:tc>
        <w:tc>
          <w:tcPr>
            <w:tcW w:w="0" w:type="auto"/>
            <w:tcBorders>
              <w:top w:val="nil"/>
              <w:left w:val="nil"/>
              <w:bottom w:val="single" w:sz="4" w:space="0" w:color="auto"/>
              <w:right w:val="nil"/>
            </w:tcBorders>
            <w:vAlign w:val="center"/>
          </w:tcPr>
          <w:p w14:paraId="05A7F45C" w14:textId="77777777" w:rsidR="0093626A" w:rsidRDefault="00000000" w:rsidP="005915A7">
            <w:pPr>
              <w:spacing w:after="0" w:line="360" w:lineRule="auto"/>
              <w:jc w:val="center"/>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NNFI</w:t>
            </w:r>
          </w:p>
        </w:tc>
        <w:tc>
          <w:tcPr>
            <w:tcW w:w="0" w:type="auto"/>
            <w:tcBorders>
              <w:top w:val="nil"/>
              <w:left w:val="nil"/>
              <w:bottom w:val="single" w:sz="4" w:space="0" w:color="auto"/>
              <w:right w:val="nil"/>
            </w:tcBorders>
            <w:noWrap/>
            <w:vAlign w:val="center"/>
          </w:tcPr>
          <w:p w14:paraId="175616EF" w14:textId="77777777" w:rsidR="0093626A" w:rsidRDefault="00000000" w:rsidP="005915A7">
            <w:pPr>
              <w:spacing w:after="0" w:line="360" w:lineRule="auto"/>
              <w:jc w:val="right"/>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0.90 – 1</w:t>
            </w:r>
          </w:p>
        </w:tc>
      </w:tr>
    </w:tbl>
    <w:p w14:paraId="7DC32C00" w14:textId="77777777" w:rsidR="0093626A" w:rsidRDefault="00000000" w:rsidP="005915A7">
      <w:pPr>
        <w:spacing w:after="0" w:line="360" w:lineRule="auto"/>
        <w:jc w:val="both"/>
        <w:rPr>
          <w:rFonts w:ascii="Arial" w:hAnsi="Arial" w:cs="Arial"/>
          <w:sz w:val="24"/>
          <w:szCs w:val="24"/>
        </w:rPr>
      </w:pPr>
      <w:r w:rsidRPr="00634580">
        <w:rPr>
          <w:rFonts w:ascii="Arial" w:hAnsi="Arial" w:cs="Arial"/>
          <w:sz w:val="20"/>
          <w:szCs w:val="20"/>
        </w:rPr>
        <w:t>Fuente: elaboración propia con datos de Reyes-Ramírez et al. (2022), Saylan y Soyyiğit (2022), Dash y Paul (2021), Padilla-Bautista et al. (2018), Doral et al. (2018).</w:t>
      </w:r>
    </w:p>
    <w:p w14:paraId="437BE520" w14:textId="77777777" w:rsidR="0093626A" w:rsidRDefault="0093626A" w:rsidP="005915A7">
      <w:pPr>
        <w:spacing w:after="0" w:line="360" w:lineRule="auto"/>
        <w:jc w:val="both"/>
        <w:rPr>
          <w:rFonts w:ascii="Arial" w:eastAsiaTheme="minorEastAsia" w:hAnsi="Arial" w:cs="Arial"/>
          <w:b/>
          <w:bCs/>
          <w:sz w:val="24"/>
          <w:szCs w:val="24"/>
        </w:rPr>
      </w:pPr>
    </w:p>
    <w:p w14:paraId="0311D079" w14:textId="77777777" w:rsidR="0093626A" w:rsidRDefault="00000000" w:rsidP="005915A7">
      <w:pPr>
        <w:spacing w:after="0" w:line="360" w:lineRule="auto"/>
        <w:jc w:val="both"/>
        <w:rPr>
          <w:rFonts w:ascii="Arial" w:eastAsiaTheme="minorEastAsia" w:hAnsi="Arial" w:cs="Arial"/>
          <w:b/>
          <w:bCs/>
          <w:sz w:val="24"/>
          <w:szCs w:val="24"/>
        </w:rPr>
      </w:pPr>
      <w:r>
        <w:rPr>
          <w:rFonts w:ascii="Arial" w:eastAsiaTheme="minorEastAsia" w:hAnsi="Arial" w:cs="Arial"/>
          <w:b/>
          <w:bCs/>
          <w:sz w:val="24"/>
          <w:szCs w:val="24"/>
        </w:rPr>
        <w:t>Consideraciones éticas</w:t>
      </w:r>
    </w:p>
    <w:p w14:paraId="5D776F3F" w14:textId="77777777" w:rsidR="0093626A" w:rsidRDefault="00000000" w:rsidP="005915A7">
      <w:pPr>
        <w:spacing w:after="0" w:line="360" w:lineRule="auto"/>
        <w:jc w:val="both"/>
        <w:rPr>
          <w:rFonts w:ascii="Arial" w:eastAsiaTheme="minorEastAsia" w:hAnsi="Arial" w:cs="Arial"/>
          <w:sz w:val="24"/>
          <w:szCs w:val="24"/>
        </w:rPr>
      </w:pPr>
      <w:r>
        <w:rPr>
          <w:rFonts w:ascii="Arial" w:eastAsiaTheme="minorEastAsia" w:hAnsi="Arial" w:cs="Arial"/>
          <w:sz w:val="24"/>
          <w:szCs w:val="24"/>
        </w:rPr>
        <w:t>En el momento de aplicar el cuestionario, se indicó a los participantes cuál es el objetivo del trabajo para que éstos dieran su autorización de poder guardar las respuestas. Cabe señalar que la participación fue completamente libre y voluntaria, exenta de pago. Así mismo, se les comentó que todas las respuestas obtenidas se analizarían de manera conjunta y que los datos recopilados son de carácter privado. Además, se consideró oportuno que un mismo individuo no pudiese dar respuesta al instrumento más de una vez.</w:t>
      </w:r>
    </w:p>
    <w:p w14:paraId="49F3B40E" w14:textId="77777777" w:rsidR="0093626A" w:rsidRDefault="0093626A" w:rsidP="005915A7">
      <w:pPr>
        <w:spacing w:after="0" w:line="360" w:lineRule="auto"/>
        <w:jc w:val="both"/>
        <w:rPr>
          <w:rFonts w:ascii="Arial" w:hAnsi="Arial" w:cs="Arial"/>
          <w:b/>
          <w:bCs/>
          <w:sz w:val="24"/>
          <w:szCs w:val="24"/>
        </w:rPr>
      </w:pPr>
    </w:p>
    <w:p w14:paraId="254F6AB5" w14:textId="77777777" w:rsidR="0093626A" w:rsidRDefault="00000000" w:rsidP="005915A7">
      <w:pPr>
        <w:spacing w:after="0" w:line="360" w:lineRule="auto"/>
        <w:jc w:val="both"/>
        <w:rPr>
          <w:rFonts w:ascii="Arial" w:hAnsi="Arial" w:cs="Arial"/>
          <w:b/>
          <w:bCs/>
          <w:sz w:val="24"/>
          <w:szCs w:val="24"/>
        </w:rPr>
      </w:pPr>
      <w:r>
        <w:rPr>
          <w:rFonts w:ascii="Arial" w:hAnsi="Arial" w:cs="Arial"/>
          <w:b/>
          <w:bCs/>
          <w:sz w:val="24"/>
          <w:szCs w:val="24"/>
        </w:rPr>
        <w:t xml:space="preserve">Resultados </w:t>
      </w:r>
    </w:p>
    <w:p w14:paraId="72BD71A0" w14:textId="77777777" w:rsidR="0093626A" w:rsidRDefault="00000000" w:rsidP="005915A7">
      <w:pPr>
        <w:spacing w:after="0" w:line="360" w:lineRule="auto"/>
        <w:jc w:val="both"/>
        <w:rPr>
          <w:rFonts w:ascii="Arial" w:eastAsiaTheme="minorEastAsia" w:hAnsi="Arial" w:cs="Arial"/>
          <w:sz w:val="24"/>
          <w:szCs w:val="24"/>
        </w:rPr>
      </w:pPr>
      <w:r>
        <w:rPr>
          <w:rFonts w:ascii="Arial" w:eastAsiaTheme="minorEastAsia" w:hAnsi="Arial" w:cs="Arial"/>
          <w:sz w:val="24"/>
          <w:szCs w:val="24"/>
        </w:rPr>
        <w:t>El análisis descriptivo se muestra en la siguiente tabla. Puede observarse que siete ítems están por encima de las cuatro unidades; es decir, representan la respuesta “</w:t>
      </w:r>
      <w:r>
        <w:rPr>
          <w:rFonts w:ascii="Arial" w:eastAsiaTheme="minorEastAsia" w:hAnsi="Arial" w:cs="Arial"/>
          <w:i/>
          <w:iCs/>
          <w:sz w:val="24"/>
          <w:szCs w:val="24"/>
        </w:rPr>
        <w:t>De acuerdo</w:t>
      </w:r>
      <w:r>
        <w:rPr>
          <w:rFonts w:ascii="Arial" w:eastAsiaTheme="minorEastAsia" w:hAnsi="Arial" w:cs="Arial"/>
          <w:sz w:val="24"/>
          <w:szCs w:val="24"/>
        </w:rPr>
        <w:t>” de los sujetos y principalmente en la dimensión de actitud. El ítem de mayor puntuación fue A3 (M= 4.70, DE=0.687).</w:t>
      </w:r>
    </w:p>
    <w:p w14:paraId="68BCF917" w14:textId="77777777" w:rsidR="0093626A" w:rsidRDefault="0093626A" w:rsidP="005915A7">
      <w:pPr>
        <w:spacing w:after="0" w:line="360" w:lineRule="auto"/>
        <w:jc w:val="both"/>
        <w:rPr>
          <w:rFonts w:ascii="Arial" w:eastAsiaTheme="minorEastAsia" w:hAnsi="Arial" w:cs="Arial"/>
          <w:sz w:val="24"/>
          <w:szCs w:val="24"/>
        </w:rPr>
      </w:pPr>
    </w:p>
    <w:p w14:paraId="34ACCBD6" w14:textId="77777777" w:rsidR="0093626A" w:rsidRDefault="00000000" w:rsidP="005915A7">
      <w:pPr>
        <w:spacing w:after="0" w:line="360" w:lineRule="auto"/>
        <w:jc w:val="both"/>
        <w:rPr>
          <w:rFonts w:ascii="Arial" w:eastAsiaTheme="minorEastAsia" w:hAnsi="Arial" w:cs="Arial"/>
          <w:sz w:val="24"/>
          <w:szCs w:val="24"/>
        </w:rPr>
      </w:pPr>
      <w:r>
        <w:rPr>
          <w:rFonts w:ascii="Arial" w:eastAsiaTheme="minorEastAsia" w:hAnsi="Arial" w:cs="Arial"/>
          <w:sz w:val="24"/>
          <w:szCs w:val="24"/>
        </w:rPr>
        <w:t>Tabla 5. Análisis descriptivo de los ítems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31"/>
        <w:gridCol w:w="457"/>
        <w:gridCol w:w="1540"/>
        <w:gridCol w:w="522"/>
        <w:gridCol w:w="1583"/>
        <w:gridCol w:w="1077"/>
        <w:gridCol w:w="1574"/>
        <w:gridCol w:w="754"/>
      </w:tblGrid>
      <w:tr w:rsidR="0093626A" w14:paraId="29E0A503" w14:textId="77777777">
        <w:trPr>
          <w:cantSplit/>
          <w:tblHeader/>
          <w:tblCellSpacing w:w="15" w:type="dxa"/>
        </w:trPr>
        <w:tc>
          <w:tcPr>
            <w:tcW w:w="993" w:type="pct"/>
            <w:gridSpan w:val="2"/>
            <w:tcBorders>
              <w:top w:val="single" w:sz="4" w:space="0" w:color="auto"/>
              <w:left w:val="nil"/>
              <w:bottom w:val="single" w:sz="6" w:space="0" w:color="333333"/>
              <w:right w:val="nil"/>
            </w:tcBorders>
            <w:tcMar>
              <w:top w:w="60" w:type="dxa"/>
              <w:left w:w="120" w:type="dxa"/>
              <w:bottom w:w="60" w:type="dxa"/>
              <w:right w:w="120" w:type="dxa"/>
            </w:tcMar>
            <w:vAlign w:val="center"/>
          </w:tcPr>
          <w:p w14:paraId="64149A78" w14:textId="77777777" w:rsidR="0093626A" w:rsidRDefault="00000000" w:rsidP="005915A7">
            <w:pPr>
              <w:spacing w:after="0" w:line="360" w:lineRule="auto"/>
              <w:jc w:val="center"/>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Ítem </w:t>
            </w:r>
          </w:p>
        </w:tc>
        <w:tc>
          <w:tcPr>
            <w:tcW w:w="1160" w:type="pct"/>
            <w:gridSpan w:val="2"/>
            <w:tcBorders>
              <w:top w:val="single" w:sz="4" w:space="0" w:color="auto"/>
              <w:left w:val="nil"/>
              <w:bottom w:val="single" w:sz="6" w:space="0" w:color="333333"/>
              <w:right w:val="nil"/>
            </w:tcBorders>
            <w:tcMar>
              <w:top w:w="60" w:type="dxa"/>
              <w:left w:w="120" w:type="dxa"/>
              <w:bottom w:w="60" w:type="dxa"/>
              <w:right w:w="120" w:type="dxa"/>
            </w:tcMar>
            <w:vAlign w:val="center"/>
          </w:tcPr>
          <w:p w14:paraId="0576E39C" w14:textId="77777777" w:rsidR="0093626A" w:rsidRDefault="00000000" w:rsidP="005915A7">
            <w:pPr>
              <w:spacing w:after="0" w:line="360" w:lineRule="auto"/>
              <w:jc w:val="center"/>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Media</w:t>
            </w:r>
          </w:p>
        </w:tc>
        <w:tc>
          <w:tcPr>
            <w:tcW w:w="1507" w:type="pct"/>
            <w:gridSpan w:val="2"/>
            <w:tcBorders>
              <w:top w:val="single" w:sz="4" w:space="0" w:color="auto"/>
              <w:left w:val="nil"/>
              <w:bottom w:val="single" w:sz="6" w:space="0" w:color="333333"/>
              <w:right w:val="nil"/>
            </w:tcBorders>
            <w:tcMar>
              <w:top w:w="60" w:type="dxa"/>
              <w:left w:w="120" w:type="dxa"/>
              <w:bottom w:w="60" w:type="dxa"/>
              <w:right w:w="120" w:type="dxa"/>
            </w:tcMar>
            <w:vAlign w:val="center"/>
          </w:tcPr>
          <w:p w14:paraId="3D068E5F" w14:textId="77777777" w:rsidR="0093626A" w:rsidRDefault="00000000" w:rsidP="005915A7">
            <w:pPr>
              <w:spacing w:after="0" w:line="360" w:lineRule="auto"/>
              <w:jc w:val="center"/>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Mediana</w:t>
            </w:r>
          </w:p>
        </w:tc>
        <w:tc>
          <w:tcPr>
            <w:tcW w:w="1254" w:type="pct"/>
            <w:gridSpan w:val="2"/>
            <w:tcBorders>
              <w:top w:val="single" w:sz="4" w:space="0" w:color="auto"/>
              <w:left w:val="nil"/>
              <w:bottom w:val="single" w:sz="6" w:space="0" w:color="333333"/>
              <w:right w:val="nil"/>
            </w:tcBorders>
            <w:tcMar>
              <w:top w:w="60" w:type="dxa"/>
              <w:left w:w="120" w:type="dxa"/>
              <w:bottom w:w="60" w:type="dxa"/>
              <w:right w:w="120" w:type="dxa"/>
            </w:tcMar>
            <w:vAlign w:val="center"/>
          </w:tcPr>
          <w:p w14:paraId="3F909CEA" w14:textId="77777777" w:rsidR="0093626A" w:rsidRDefault="00000000" w:rsidP="005915A7">
            <w:pPr>
              <w:spacing w:after="0" w:line="360" w:lineRule="auto"/>
              <w:jc w:val="center"/>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DE</w:t>
            </w:r>
          </w:p>
        </w:tc>
      </w:tr>
      <w:tr w:rsidR="0093626A" w14:paraId="62B1CA7C" w14:textId="77777777">
        <w:trPr>
          <w:cantSplit/>
          <w:tblCellSpacing w:w="15" w:type="dxa"/>
        </w:trPr>
        <w:tc>
          <w:tcPr>
            <w:tcW w:w="746" w:type="pct"/>
            <w:tcBorders>
              <w:top w:val="nil"/>
              <w:left w:val="nil"/>
              <w:bottom w:val="nil"/>
              <w:right w:val="nil"/>
            </w:tcBorders>
            <w:tcMar>
              <w:top w:w="120" w:type="dxa"/>
              <w:left w:w="120" w:type="dxa"/>
              <w:bottom w:w="30" w:type="dxa"/>
              <w:right w:w="0" w:type="dxa"/>
            </w:tcMar>
            <w:vAlign w:val="center"/>
          </w:tcPr>
          <w:p w14:paraId="2A271C10" w14:textId="77777777" w:rsidR="0093626A" w:rsidRDefault="00000000" w:rsidP="005915A7">
            <w:pPr>
              <w:spacing w:after="0" w:line="360" w:lineRule="auto"/>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A1</w:t>
            </w:r>
          </w:p>
        </w:tc>
        <w:tc>
          <w:tcPr>
            <w:tcW w:w="231" w:type="pct"/>
            <w:tcBorders>
              <w:top w:val="nil"/>
              <w:left w:val="nil"/>
              <w:bottom w:val="nil"/>
              <w:right w:val="nil"/>
            </w:tcBorders>
            <w:tcMar>
              <w:top w:w="120" w:type="dxa"/>
              <w:left w:w="30" w:type="dxa"/>
              <w:bottom w:w="30" w:type="dxa"/>
              <w:right w:w="120" w:type="dxa"/>
            </w:tcMar>
            <w:vAlign w:val="center"/>
          </w:tcPr>
          <w:p w14:paraId="396C5F97" w14:textId="77777777" w:rsidR="0093626A" w:rsidRDefault="0093626A" w:rsidP="005915A7">
            <w:pPr>
              <w:spacing w:after="0" w:line="360" w:lineRule="auto"/>
              <w:rPr>
                <w:rFonts w:ascii="Arial" w:eastAsia="Times New Roman" w:hAnsi="Arial" w:cs="Arial"/>
                <w:color w:val="333333"/>
                <w:kern w:val="0"/>
                <w:sz w:val="24"/>
                <w:szCs w:val="24"/>
                <w:lang w:eastAsia="es-MX"/>
                <w14:ligatures w14:val="none"/>
              </w:rPr>
            </w:pPr>
          </w:p>
        </w:tc>
        <w:tc>
          <w:tcPr>
            <w:tcW w:w="875" w:type="pct"/>
            <w:tcBorders>
              <w:top w:val="nil"/>
              <w:left w:val="nil"/>
              <w:bottom w:val="nil"/>
              <w:right w:val="nil"/>
            </w:tcBorders>
            <w:tcMar>
              <w:top w:w="120" w:type="dxa"/>
              <w:left w:w="120" w:type="dxa"/>
              <w:bottom w:w="30" w:type="dxa"/>
              <w:right w:w="0" w:type="dxa"/>
            </w:tcMar>
            <w:vAlign w:val="center"/>
          </w:tcPr>
          <w:p w14:paraId="0D9BEC2A" w14:textId="77777777" w:rsidR="0093626A" w:rsidRDefault="00000000" w:rsidP="005915A7">
            <w:pPr>
              <w:spacing w:after="0" w:line="360" w:lineRule="auto"/>
              <w:jc w:val="right"/>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4.46</w:t>
            </w:r>
          </w:p>
        </w:tc>
        <w:tc>
          <w:tcPr>
            <w:tcW w:w="269" w:type="pct"/>
            <w:tcBorders>
              <w:top w:val="nil"/>
              <w:left w:val="nil"/>
              <w:bottom w:val="nil"/>
              <w:right w:val="nil"/>
            </w:tcBorders>
            <w:tcMar>
              <w:top w:w="120" w:type="dxa"/>
              <w:left w:w="30" w:type="dxa"/>
              <w:bottom w:w="30" w:type="dxa"/>
              <w:right w:w="120" w:type="dxa"/>
            </w:tcMar>
            <w:vAlign w:val="center"/>
          </w:tcPr>
          <w:p w14:paraId="31BFC599" w14:textId="77777777" w:rsidR="0093626A" w:rsidRDefault="0093626A" w:rsidP="005915A7">
            <w:pPr>
              <w:spacing w:after="0" w:line="360" w:lineRule="auto"/>
              <w:jc w:val="right"/>
              <w:rPr>
                <w:rFonts w:ascii="Arial" w:eastAsia="Times New Roman" w:hAnsi="Arial" w:cs="Arial"/>
                <w:color w:val="333333"/>
                <w:kern w:val="0"/>
                <w:sz w:val="24"/>
                <w:szCs w:val="24"/>
                <w:lang w:eastAsia="es-MX"/>
                <w14:ligatures w14:val="none"/>
              </w:rPr>
            </w:pPr>
          </w:p>
        </w:tc>
        <w:tc>
          <w:tcPr>
            <w:tcW w:w="900" w:type="pct"/>
            <w:tcBorders>
              <w:top w:val="nil"/>
              <w:left w:val="nil"/>
              <w:bottom w:val="nil"/>
              <w:right w:val="nil"/>
            </w:tcBorders>
            <w:tcMar>
              <w:top w:w="120" w:type="dxa"/>
              <w:left w:w="120" w:type="dxa"/>
              <w:bottom w:w="30" w:type="dxa"/>
              <w:right w:w="0" w:type="dxa"/>
            </w:tcMar>
            <w:vAlign w:val="center"/>
          </w:tcPr>
          <w:p w14:paraId="250C5D38" w14:textId="77777777" w:rsidR="0093626A" w:rsidRDefault="00000000" w:rsidP="005915A7">
            <w:pPr>
              <w:spacing w:after="0" w:line="360" w:lineRule="auto"/>
              <w:jc w:val="right"/>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5</w:t>
            </w:r>
          </w:p>
        </w:tc>
        <w:tc>
          <w:tcPr>
            <w:tcW w:w="591" w:type="pct"/>
            <w:tcBorders>
              <w:top w:val="nil"/>
              <w:left w:val="nil"/>
              <w:bottom w:val="nil"/>
              <w:right w:val="nil"/>
            </w:tcBorders>
            <w:tcMar>
              <w:top w:w="120" w:type="dxa"/>
              <w:left w:w="30" w:type="dxa"/>
              <w:bottom w:w="30" w:type="dxa"/>
              <w:right w:w="120" w:type="dxa"/>
            </w:tcMar>
            <w:vAlign w:val="center"/>
          </w:tcPr>
          <w:p w14:paraId="6660F0A1" w14:textId="77777777" w:rsidR="0093626A" w:rsidRDefault="0093626A" w:rsidP="005915A7">
            <w:pPr>
              <w:spacing w:after="0" w:line="360" w:lineRule="auto"/>
              <w:jc w:val="right"/>
              <w:rPr>
                <w:rFonts w:ascii="Arial" w:eastAsia="Times New Roman" w:hAnsi="Arial" w:cs="Arial"/>
                <w:color w:val="333333"/>
                <w:kern w:val="0"/>
                <w:sz w:val="24"/>
                <w:szCs w:val="24"/>
                <w:lang w:eastAsia="es-MX"/>
                <w14:ligatures w14:val="none"/>
              </w:rPr>
            </w:pPr>
          </w:p>
        </w:tc>
        <w:tc>
          <w:tcPr>
            <w:tcW w:w="895" w:type="pct"/>
            <w:tcBorders>
              <w:top w:val="nil"/>
              <w:left w:val="nil"/>
              <w:bottom w:val="nil"/>
              <w:right w:val="nil"/>
            </w:tcBorders>
            <w:tcMar>
              <w:top w:w="120" w:type="dxa"/>
              <w:left w:w="120" w:type="dxa"/>
              <w:bottom w:w="30" w:type="dxa"/>
              <w:right w:w="0" w:type="dxa"/>
            </w:tcMar>
            <w:vAlign w:val="center"/>
          </w:tcPr>
          <w:p w14:paraId="2FFC2EAD" w14:textId="77777777" w:rsidR="0093626A" w:rsidRDefault="00000000" w:rsidP="005915A7">
            <w:pPr>
              <w:spacing w:after="0" w:line="360" w:lineRule="auto"/>
              <w:jc w:val="right"/>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0.857</w:t>
            </w:r>
          </w:p>
        </w:tc>
        <w:tc>
          <w:tcPr>
            <w:tcW w:w="342" w:type="pct"/>
            <w:tcBorders>
              <w:top w:val="nil"/>
              <w:left w:val="nil"/>
              <w:bottom w:val="nil"/>
              <w:right w:val="nil"/>
            </w:tcBorders>
            <w:tcMar>
              <w:top w:w="120" w:type="dxa"/>
              <w:left w:w="30" w:type="dxa"/>
              <w:bottom w:w="30" w:type="dxa"/>
              <w:right w:w="120" w:type="dxa"/>
            </w:tcMar>
            <w:vAlign w:val="center"/>
          </w:tcPr>
          <w:p w14:paraId="789762AF" w14:textId="77777777" w:rsidR="0093626A" w:rsidRDefault="0093626A" w:rsidP="005915A7">
            <w:pPr>
              <w:spacing w:after="0" w:line="360" w:lineRule="auto"/>
              <w:jc w:val="right"/>
              <w:rPr>
                <w:rFonts w:ascii="Arial" w:eastAsia="Times New Roman" w:hAnsi="Arial" w:cs="Arial"/>
                <w:color w:val="333333"/>
                <w:kern w:val="0"/>
                <w:sz w:val="24"/>
                <w:szCs w:val="24"/>
                <w:lang w:eastAsia="es-MX"/>
                <w14:ligatures w14:val="none"/>
              </w:rPr>
            </w:pPr>
          </w:p>
        </w:tc>
      </w:tr>
      <w:tr w:rsidR="0093626A" w14:paraId="6C63BFB0" w14:textId="77777777">
        <w:trPr>
          <w:cantSplit/>
          <w:tblCellSpacing w:w="15" w:type="dxa"/>
        </w:trPr>
        <w:tc>
          <w:tcPr>
            <w:tcW w:w="746" w:type="pct"/>
            <w:tcBorders>
              <w:top w:val="nil"/>
              <w:left w:val="nil"/>
              <w:bottom w:val="nil"/>
              <w:right w:val="nil"/>
            </w:tcBorders>
            <w:tcMar>
              <w:top w:w="30" w:type="dxa"/>
              <w:left w:w="120" w:type="dxa"/>
              <w:bottom w:w="30" w:type="dxa"/>
              <w:right w:w="0" w:type="dxa"/>
            </w:tcMar>
            <w:vAlign w:val="center"/>
          </w:tcPr>
          <w:p w14:paraId="59B1DB13" w14:textId="77777777" w:rsidR="0093626A" w:rsidRDefault="00000000" w:rsidP="005915A7">
            <w:pPr>
              <w:spacing w:after="0" w:line="360" w:lineRule="auto"/>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A2</w:t>
            </w:r>
          </w:p>
        </w:tc>
        <w:tc>
          <w:tcPr>
            <w:tcW w:w="231" w:type="pct"/>
            <w:tcBorders>
              <w:top w:val="nil"/>
              <w:left w:val="nil"/>
              <w:bottom w:val="nil"/>
              <w:right w:val="nil"/>
            </w:tcBorders>
            <w:tcMar>
              <w:top w:w="30" w:type="dxa"/>
              <w:left w:w="30" w:type="dxa"/>
              <w:bottom w:w="30" w:type="dxa"/>
              <w:right w:w="120" w:type="dxa"/>
            </w:tcMar>
            <w:vAlign w:val="center"/>
          </w:tcPr>
          <w:p w14:paraId="172E548D" w14:textId="77777777" w:rsidR="0093626A" w:rsidRDefault="0093626A" w:rsidP="005915A7">
            <w:pPr>
              <w:spacing w:after="0" w:line="360" w:lineRule="auto"/>
              <w:rPr>
                <w:rFonts w:ascii="Arial" w:eastAsia="Times New Roman" w:hAnsi="Arial" w:cs="Arial"/>
                <w:color w:val="333333"/>
                <w:kern w:val="0"/>
                <w:sz w:val="24"/>
                <w:szCs w:val="24"/>
                <w:lang w:eastAsia="es-MX"/>
                <w14:ligatures w14:val="none"/>
              </w:rPr>
            </w:pPr>
          </w:p>
        </w:tc>
        <w:tc>
          <w:tcPr>
            <w:tcW w:w="875" w:type="pct"/>
            <w:tcBorders>
              <w:top w:val="nil"/>
              <w:left w:val="nil"/>
              <w:bottom w:val="nil"/>
              <w:right w:val="nil"/>
            </w:tcBorders>
            <w:tcMar>
              <w:top w:w="30" w:type="dxa"/>
              <w:left w:w="120" w:type="dxa"/>
              <w:bottom w:w="30" w:type="dxa"/>
              <w:right w:w="0" w:type="dxa"/>
            </w:tcMar>
            <w:vAlign w:val="center"/>
          </w:tcPr>
          <w:p w14:paraId="676E673B" w14:textId="77777777" w:rsidR="0093626A" w:rsidRDefault="00000000" w:rsidP="005915A7">
            <w:pPr>
              <w:spacing w:after="0" w:line="360" w:lineRule="auto"/>
              <w:jc w:val="right"/>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4.46</w:t>
            </w:r>
          </w:p>
        </w:tc>
        <w:tc>
          <w:tcPr>
            <w:tcW w:w="269" w:type="pct"/>
            <w:tcBorders>
              <w:top w:val="nil"/>
              <w:left w:val="nil"/>
              <w:bottom w:val="nil"/>
              <w:right w:val="nil"/>
            </w:tcBorders>
            <w:tcMar>
              <w:top w:w="30" w:type="dxa"/>
              <w:left w:w="30" w:type="dxa"/>
              <w:bottom w:w="30" w:type="dxa"/>
              <w:right w:w="120" w:type="dxa"/>
            </w:tcMar>
            <w:vAlign w:val="center"/>
          </w:tcPr>
          <w:p w14:paraId="117B439D" w14:textId="77777777" w:rsidR="0093626A" w:rsidRDefault="0093626A" w:rsidP="005915A7">
            <w:pPr>
              <w:spacing w:after="0" w:line="360" w:lineRule="auto"/>
              <w:jc w:val="right"/>
              <w:rPr>
                <w:rFonts w:ascii="Arial" w:eastAsia="Times New Roman" w:hAnsi="Arial" w:cs="Arial"/>
                <w:color w:val="333333"/>
                <w:kern w:val="0"/>
                <w:sz w:val="24"/>
                <w:szCs w:val="24"/>
                <w:lang w:eastAsia="es-MX"/>
                <w14:ligatures w14:val="none"/>
              </w:rPr>
            </w:pPr>
          </w:p>
        </w:tc>
        <w:tc>
          <w:tcPr>
            <w:tcW w:w="900" w:type="pct"/>
            <w:tcBorders>
              <w:top w:val="nil"/>
              <w:left w:val="nil"/>
              <w:bottom w:val="nil"/>
              <w:right w:val="nil"/>
            </w:tcBorders>
            <w:tcMar>
              <w:top w:w="30" w:type="dxa"/>
              <w:left w:w="120" w:type="dxa"/>
              <w:bottom w:w="30" w:type="dxa"/>
              <w:right w:w="0" w:type="dxa"/>
            </w:tcMar>
            <w:vAlign w:val="center"/>
          </w:tcPr>
          <w:p w14:paraId="40DD9735" w14:textId="77777777" w:rsidR="0093626A" w:rsidRDefault="00000000" w:rsidP="005915A7">
            <w:pPr>
              <w:spacing w:after="0" w:line="360" w:lineRule="auto"/>
              <w:jc w:val="right"/>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5</w:t>
            </w:r>
          </w:p>
        </w:tc>
        <w:tc>
          <w:tcPr>
            <w:tcW w:w="591" w:type="pct"/>
            <w:tcBorders>
              <w:top w:val="nil"/>
              <w:left w:val="nil"/>
              <w:bottom w:val="nil"/>
              <w:right w:val="nil"/>
            </w:tcBorders>
            <w:tcMar>
              <w:top w:w="30" w:type="dxa"/>
              <w:left w:w="30" w:type="dxa"/>
              <w:bottom w:w="30" w:type="dxa"/>
              <w:right w:w="120" w:type="dxa"/>
            </w:tcMar>
            <w:vAlign w:val="center"/>
          </w:tcPr>
          <w:p w14:paraId="0FFE9670" w14:textId="77777777" w:rsidR="0093626A" w:rsidRDefault="0093626A" w:rsidP="005915A7">
            <w:pPr>
              <w:spacing w:after="0" w:line="360" w:lineRule="auto"/>
              <w:jc w:val="right"/>
              <w:rPr>
                <w:rFonts w:ascii="Arial" w:eastAsia="Times New Roman" w:hAnsi="Arial" w:cs="Arial"/>
                <w:color w:val="333333"/>
                <w:kern w:val="0"/>
                <w:sz w:val="24"/>
                <w:szCs w:val="24"/>
                <w:lang w:eastAsia="es-MX"/>
                <w14:ligatures w14:val="none"/>
              </w:rPr>
            </w:pPr>
          </w:p>
        </w:tc>
        <w:tc>
          <w:tcPr>
            <w:tcW w:w="895" w:type="pct"/>
            <w:tcBorders>
              <w:top w:val="nil"/>
              <w:left w:val="nil"/>
              <w:bottom w:val="nil"/>
              <w:right w:val="nil"/>
            </w:tcBorders>
            <w:tcMar>
              <w:top w:w="30" w:type="dxa"/>
              <w:left w:w="120" w:type="dxa"/>
              <w:bottom w:w="30" w:type="dxa"/>
              <w:right w:w="0" w:type="dxa"/>
            </w:tcMar>
            <w:vAlign w:val="center"/>
          </w:tcPr>
          <w:p w14:paraId="34DDF36C" w14:textId="77777777" w:rsidR="0093626A" w:rsidRDefault="00000000" w:rsidP="005915A7">
            <w:pPr>
              <w:spacing w:after="0" w:line="360" w:lineRule="auto"/>
              <w:jc w:val="right"/>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0.857</w:t>
            </w:r>
          </w:p>
        </w:tc>
        <w:tc>
          <w:tcPr>
            <w:tcW w:w="342" w:type="pct"/>
            <w:tcBorders>
              <w:top w:val="nil"/>
              <w:left w:val="nil"/>
              <w:bottom w:val="nil"/>
              <w:right w:val="nil"/>
            </w:tcBorders>
            <w:tcMar>
              <w:top w:w="30" w:type="dxa"/>
              <w:left w:w="30" w:type="dxa"/>
              <w:bottom w:w="30" w:type="dxa"/>
              <w:right w:w="120" w:type="dxa"/>
            </w:tcMar>
            <w:vAlign w:val="center"/>
          </w:tcPr>
          <w:p w14:paraId="41D03A92" w14:textId="77777777" w:rsidR="0093626A" w:rsidRDefault="0093626A" w:rsidP="005915A7">
            <w:pPr>
              <w:spacing w:after="0" w:line="360" w:lineRule="auto"/>
              <w:jc w:val="right"/>
              <w:rPr>
                <w:rFonts w:ascii="Arial" w:eastAsia="Times New Roman" w:hAnsi="Arial" w:cs="Arial"/>
                <w:color w:val="333333"/>
                <w:kern w:val="0"/>
                <w:sz w:val="24"/>
                <w:szCs w:val="24"/>
                <w:lang w:eastAsia="es-MX"/>
                <w14:ligatures w14:val="none"/>
              </w:rPr>
            </w:pPr>
          </w:p>
        </w:tc>
      </w:tr>
      <w:tr w:rsidR="0093626A" w14:paraId="5AECBCC9" w14:textId="77777777">
        <w:trPr>
          <w:cantSplit/>
          <w:tblCellSpacing w:w="15" w:type="dxa"/>
        </w:trPr>
        <w:tc>
          <w:tcPr>
            <w:tcW w:w="746" w:type="pct"/>
            <w:tcBorders>
              <w:top w:val="nil"/>
              <w:left w:val="nil"/>
              <w:bottom w:val="nil"/>
              <w:right w:val="nil"/>
            </w:tcBorders>
            <w:tcMar>
              <w:top w:w="30" w:type="dxa"/>
              <w:left w:w="120" w:type="dxa"/>
              <w:bottom w:w="30" w:type="dxa"/>
              <w:right w:w="0" w:type="dxa"/>
            </w:tcMar>
            <w:vAlign w:val="center"/>
          </w:tcPr>
          <w:p w14:paraId="49BDBC2C" w14:textId="77777777" w:rsidR="0093626A" w:rsidRDefault="00000000" w:rsidP="005915A7">
            <w:pPr>
              <w:spacing w:after="0" w:line="360" w:lineRule="auto"/>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A3</w:t>
            </w:r>
          </w:p>
        </w:tc>
        <w:tc>
          <w:tcPr>
            <w:tcW w:w="231" w:type="pct"/>
            <w:tcBorders>
              <w:top w:val="nil"/>
              <w:left w:val="nil"/>
              <w:bottom w:val="nil"/>
              <w:right w:val="nil"/>
            </w:tcBorders>
            <w:tcMar>
              <w:top w:w="30" w:type="dxa"/>
              <w:left w:w="30" w:type="dxa"/>
              <w:bottom w:w="30" w:type="dxa"/>
              <w:right w:w="120" w:type="dxa"/>
            </w:tcMar>
            <w:vAlign w:val="center"/>
          </w:tcPr>
          <w:p w14:paraId="0EE8B9EE" w14:textId="77777777" w:rsidR="0093626A" w:rsidRDefault="0093626A" w:rsidP="005915A7">
            <w:pPr>
              <w:spacing w:after="0" w:line="360" w:lineRule="auto"/>
              <w:rPr>
                <w:rFonts w:ascii="Arial" w:eastAsia="Times New Roman" w:hAnsi="Arial" w:cs="Arial"/>
                <w:color w:val="333333"/>
                <w:kern w:val="0"/>
                <w:sz w:val="24"/>
                <w:szCs w:val="24"/>
                <w:lang w:eastAsia="es-MX"/>
                <w14:ligatures w14:val="none"/>
              </w:rPr>
            </w:pPr>
          </w:p>
        </w:tc>
        <w:tc>
          <w:tcPr>
            <w:tcW w:w="875" w:type="pct"/>
            <w:tcBorders>
              <w:top w:val="nil"/>
              <w:left w:val="nil"/>
              <w:bottom w:val="nil"/>
              <w:right w:val="nil"/>
            </w:tcBorders>
            <w:tcMar>
              <w:top w:w="30" w:type="dxa"/>
              <w:left w:w="120" w:type="dxa"/>
              <w:bottom w:w="30" w:type="dxa"/>
              <w:right w:w="0" w:type="dxa"/>
            </w:tcMar>
            <w:vAlign w:val="center"/>
          </w:tcPr>
          <w:p w14:paraId="1131A00D" w14:textId="77777777" w:rsidR="0093626A" w:rsidRDefault="00000000" w:rsidP="005915A7">
            <w:pPr>
              <w:spacing w:after="0" w:line="360" w:lineRule="auto"/>
              <w:jc w:val="right"/>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4.70</w:t>
            </w:r>
          </w:p>
        </w:tc>
        <w:tc>
          <w:tcPr>
            <w:tcW w:w="269" w:type="pct"/>
            <w:tcBorders>
              <w:top w:val="nil"/>
              <w:left w:val="nil"/>
              <w:bottom w:val="nil"/>
              <w:right w:val="nil"/>
            </w:tcBorders>
            <w:tcMar>
              <w:top w:w="30" w:type="dxa"/>
              <w:left w:w="30" w:type="dxa"/>
              <w:bottom w:w="30" w:type="dxa"/>
              <w:right w:w="120" w:type="dxa"/>
            </w:tcMar>
            <w:vAlign w:val="center"/>
          </w:tcPr>
          <w:p w14:paraId="37D5DC3A" w14:textId="77777777" w:rsidR="0093626A" w:rsidRDefault="0093626A" w:rsidP="005915A7">
            <w:pPr>
              <w:spacing w:after="0" w:line="360" w:lineRule="auto"/>
              <w:jc w:val="right"/>
              <w:rPr>
                <w:rFonts w:ascii="Arial" w:eastAsia="Times New Roman" w:hAnsi="Arial" w:cs="Arial"/>
                <w:color w:val="333333"/>
                <w:kern w:val="0"/>
                <w:sz w:val="24"/>
                <w:szCs w:val="24"/>
                <w:lang w:eastAsia="es-MX"/>
                <w14:ligatures w14:val="none"/>
              </w:rPr>
            </w:pPr>
          </w:p>
        </w:tc>
        <w:tc>
          <w:tcPr>
            <w:tcW w:w="900" w:type="pct"/>
            <w:tcBorders>
              <w:top w:val="nil"/>
              <w:left w:val="nil"/>
              <w:bottom w:val="nil"/>
              <w:right w:val="nil"/>
            </w:tcBorders>
            <w:tcMar>
              <w:top w:w="30" w:type="dxa"/>
              <w:left w:w="120" w:type="dxa"/>
              <w:bottom w:w="30" w:type="dxa"/>
              <w:right w:w="0" w:type="dxa"/>
            </w:tcMar>
            <w:vAlign w:val="center"/>
          </w:tcPr>
          <w:p w14:paraId="226E7E2E" w14:textId="77777777" w:rsidR="0093626A" w:rsidRDefault="00000000" w:rsidP="005915A7">
            <w:pPr>
              <w:spacing w:after="0" w:line="360" w:lineRule="auto"/>
              <w:jc w:val="right"/>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5</w:t>
            </w:r>
          </w:p>
        </w:tc>
        <w:tc>
          <w:tcPr>
            <w:tcW w:w="591" w:type="pct"/>
            <w:tcBorders>
              <w:top w:val="nil"/>
              <w:left w:val="nil"/>
              <w:bottom w:val="nil"/>
              <w:right w:val="nil"/>
            </w:tcBorders>
            <w:tcMar>
              <w:top w:w="30" w:type="dxa"/>
              <w:left w:w="30" w:type="dxa"/>
              <w:bottom w:w="30" w:type="dxa"/>
              <w:right w:w="120" w:type="dxa"/>
            </w:tcMar>
            <w:vAlign w:val="center"/>
          </w:tcPr>
          <w:p w14:paraId="03EB6DC7" w14:textId="77777777" w:rsidR="0093626A" w:rsidRDefault="0093626A" w:rsidP="005915A7">
            <w:pPr>
              <w:spacing w:after="0" w:line="360" w:lineRule="auto"/>
              <w:jc w:val="right"/>
              <w:rPr>
                <w:rFonts w:ascii="Arial" w:eastAsia="Times New Roman" w:hAnsi="Arial" w:cs="Arial"/>
                <w:color w:val="333333"/>
                <w:kern w:val="0"/>
                <w:sz w:val="24"/>
                <w:szCs w:val="24"/>
                <w:lang w:eastAsia="es-MX"/>
                <w14:ligatures w14:val="none"/>
              </w:rPr>
            </w:pPr>
          </w:p>
        </w:tc>
        <w:tc>
          <w:tcPr>
            <w:tcW w:w="895" w:type="pct"/>
            <w:tcBorders>
              <w:top w:val="nil"/>
              <w:left w:val="nil"/>
              <w:bottom w:val="nil"/>
              <w:right w:val="nil"/>
            </w:tcBorders>
            <w:tcMar>
              <w:top w:w="30" w:type="dxa"/>
              <w:left w:w="120" w:type="dxa"/>
              <w:bottom w:w="30" w:type="dxa"/>
              <w:right w:w="0" w:type="dxa"/>
            </w:tcMar>
            <w:vAlign w:val="center"/>
          </w:tcPr>
          <w:p w14:paraId="79DF0E35" w14:textId="77777777" w:rsidR="0093626A" w:rsidRDefault="00000000" w:rsidP="005915A7">
            <w:pPr>
              <w:spacing w:after="0" w:line="360" w:lineRule="auto"/>
              <w:jc w:val="right"/>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0.687</w:t>
            </w:r>
          </w:p>
        </w:tc>
        <w:tc>
          <w:tcPr>
            <w:tcW w:w="342" w:type="pct"/>
            <w:tcBorders>
              <w:top w:val="nil"/>
              <w:left w:val="nil"/>
              <w:bottom w:val="nil"/>
              <w:right w:val="nil"/>
            </w:tcBorders>
            <w:tcMar>
              <w:top w:w="30" w:type="dxa"/>
              <w:left w:w="30" w:type="dxa"/>
              <w:bottom w:w="30" w:type="dxa"/>
              <w:right w:w="120" w:type="dxa"/>
            </w:tcMar>
            <w:vAlign w:val="center"/>
          </w:tcPr>
          <w:p w14:paraId="7D30F9D1" w14:textId="77777777" w:rsidR="0093626A" w:rsidRDefault="0093626A" w:rsidP="005915A7">
            <w:pPr>
              <w:spacing w:after="0" w:line="360" w:lineRule="auto"/>
              <w:jc w:val="right"/>
              <w:rPr>
                <w:rFonts w:ascii="Arial" w:eastAsia="Times New Roman" w:hAnsi="Arial" w:cs="Arial"/>
                <w:color w:val="333333"/>
                <w:kern w:val="0"/>
                <w:sz w:val="24"/>
                <w:szCs w:val="24"/>
                <w:lang w:eastAsia="es-MX"/>
                <w14:ligatures w14:val="none"/>
              </w:rPr>
            </w:pPr>
          </w:p>
        </w:tc>
      </w:tr>
      <w:tr w:rsidR="0093626A" w14:paraId="3B4482B8" w14:textId="77777777">
        <w:trPr>
          <w:cantSplit/>
          <w:tblCellSpacing w:w="15" w:type="dxa"/>
        </w:trPr>
        <w:tc>
          <w:tcPr>
            <w:tcW w:w="746" w:type="pct"/>
            <w:tcBorders>
              <w:top w:val="nil"/>
              <w:left w:val="nil"/>
              <w:bottom w:val="nil"/>
              <w:right w:val="nil"/>
            </w:tcBorders>
            <w:tcMar>
              <w:top w:w="30" w:type="dxa"/>
              <w:left w:w="120" w:type="dxa"/>
              <w:bottom w:w="30" w:type="dxa"/>
              <w:right w:w="0" w:type="dxa"/>
            </w:tcMar>
            <w:vAlign w:val="center"/>
          </w:tcPr>
          <w:p w14:paraId="47136095" w14:textId="77777777" w:rsidR="0093626A" w:rsidRDefault="00000000" w:rsidP="005915A7">
            <w:pPr>
              <w:spacing w:after="0" w:line="360" w:lineRule="auto"/>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A4</w:t>
            </w:r>
          </w:p>
        </w:tc>
        <w:tc>
          <w:tcPr>
            <w:tcW w:w="231" w:type="pct"/>
            <w:tcBorders>
              <w:top w:val="nil"/>
              <w:left w:val="nil"/>
              <w:bottom w:val="nil"/>
              <w:right w:val="nil"/>
            </w:tcBorders>
            <w:tcMar>
              <w:top w:w="30" w:type="dxa"/>
              <w:left w:w="30" w:type="dxa"/>
              <w:bottom w:w="30" w:type="dxa"/>
              <w:right w:w="120" w:type="dxa"/>
            </w:tcMar>
            <w:vAlign w:val="center"/>
          </w:tcPr>
          <w:p w14:paraId="4D6D0DBE" w14:textId="77777777" w:rsidR="0093626A" w:rsidRDefault="0093626A" w:rsidP="005915A7">
            <w:pPr>
              <w:spacing w:after="0" w:line="360" w:lineRule="auto"/>
              <w:rPr>
                <w:rFonts w:ascii="Arial" w:eastAsia="Times New Roman" w:hAnsi="Arial" w:cs="Arial"/>
                <w:color w:val="333333"/>
                <w:kern w:val="0"/>
                <w:sz w:val="24"/>
                <w:szCs w:val="24"/>
                <w:lang w:eastAsia="es-MX"/>
                <w14:ligatures w14:val="none"/>
              </w:rPr>
            </w:pPr>
          </w:p>
        </w:tc>
        <w:tc>
          <w:tcPr>
            <w:tcW w:w="875" w:type="pct"/>
            <w:tcBorders>
              <w:top w:val="nil"/>
              <w:left w:val="nil"/>
              <w:bottom w:val="nil"/>
              <w:right w:val="nil"/>
            </w:tcBorders>
            <w:tcMar>
              <w:top w:w="30" w:type="dxa"/>
              <w:left w:w="120" w:type="dxa"/>
              <w:bottom w:w="30" w:type="dxa"/>
              <w:right w:w="0" w:type="dxa"/>
            </w:tcMar>
            <w:vAlign w:val="center"/>
          </w:tcPr>
          <w:p w14:paraId="6BB51527" w14:textId="77777777" w:rsidR="0093626A" w:rsidRDefault="00000000" w:rsidP="005915A7">
            <w:pPr>
              <w:spacing w:after="0" w:line="360" w:lineRule="auto"/>
              <w:jc w:val="right"/>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4.34</w:t>
            </w:r>
          </w:p>
        </w:tc>
        <w:tc>
          <w:tcPr>
            <w:tcW w:w="269" w:type="pct"/>
            <w:tcBorders>
              <w:top w:val="nil"/>
              <w:left w:val="nil"/>
              <w:bottom w:val="nil"/>
              <w:right w:val="nil"/>
            </w:tcBorders>
            <w:tcMar>
              <w:top w:w="30" w:type="dxa"/>
              <w:left w:w="30" w:type="dxa"/>
              <w:bottom w:w="30" w:type="dxa"/>
              <w:right w:w="120" w:type="dxa"/>
            </w:tcMar>
            <w:vAlign w:val="center"/>
          </w:tcPr>
          <w:p w14:paraId="1CF95EEC" w14:textId="77777777" w:rsidR="0093626A" w:rsidRDefault="0093626A" w:rsidP="005915A7">
            <w:pPr>
              <w:spacing w:after="0" w:line="360" w:lineRule="auto"/>
              <w:jc w:val="right"/>
              <w:rPr>
                <w:rFonts w:ascii="Arial" w:eastAsia="Times New Roman" w:hAnsi="Arial" w:cs="Arial"/>
                <w:color w:val="333333"/>
                <w:kern w:val="0"/>
                <w:sz w:val="24"/>
                <w:szCs w:val="24"/>
                <w:lang w:eastAsia="es-MX"/>
                <w14:ligatures w14:val="none"/>
              </w:rPr>
            </w:pPr>
          </w:p>
        </w:tc>
        <w:tc>
          <w:tcPr>
            <w:tcW w:w="900" w:type="pct"/>
            <w:tcBorders>
              <w:top w:val="nil"/>
              <w:left w:val="nil"/>
              <w:bottom w:val="nil"/>
              <w:right w:val="nil"/>
            </w:tcBorders>
            <w:tcMar>
              <w:top w:w="30" w:type="dxa"/>
              <w:left w:w="120" w:type="dxa"/>
              <w:bottom w:w="30" w:type="dxa"/>
              <w:right w:w="0" w:type="dxa"/>
            </w:tcMar>
            <w:vAlign w:val="center"/>
          </w:tcPr>
          <w:p w14:paraId="25BB50FD" w14:textId="77777777" w:rsidR="0093626A" w:rsidRDefault="00000000" w:rsidP="005915A7">
            <w:pPr>
              <w:spacing w:after="0" w:line="360" w:lineRule="auto"/>
              <w:jc w:val="right"/>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5</w:t>
            </w:r>
          </w:p>
        </w:tc>
        <w:tc>
          <w:tcPr>
            <w:tcW w:w="591" w:type="pct"/>
            <w:tcBorders>
              <w:top w:val="nil"/>
              <w:left w:val="nil"/>
              <w:bottom w:val="nil"/>
              <w:right w:val="nil"/>
            </w:tcBorders>
            <w:tcMar>
              <w:top w:w="30" w:type="dxa"/>
              <w:left w:w="30" w:type="dxa"/>
              <w:bottom w:w="30" w:type="dxa"/>
              <w:right w:w="120" w:type="dxa"/>
            </w:tcMar>
            <w:vAlign w:val="center"/>
          </w:tcPr>
          <w:p w14:paraId="1E1EB7CE" w14:textId="77777777" w:rsidR="0093626A" w:rsidRDefault="0093626A" w:rsidP="005915A7">
            <w:pPr>
              <w:spacing w:after="0" w:line="360" w:lineRule="auto"/>
              <w:jc w:val="right"/>
              <w:rPr>
                <w:rFonts w:ascii="Arial" w:eastAsia="Times New Roman" w:hAnsi="Arial" w:cs="Arial"/>
                <w:color w:val="333333"/>
                <w:kern w:val="0"/>
                <w:sz w:val="24"/>
                <w:szCs w:val="24"/>
                <w:lang w:eastAsia="es-MX"/>
                <w14:ligatures w14:val="none"/>
              </w:rPr>
            </w:pPr>
          </w:p>
        </w:tc>
        <w:tc>
          <w:tcPr>
            <w:tcW w:w="895" w:type="pct"/>
            <w:tcBorders>
              <w:top w:val="nil"/>
              <w:left w:val="nil"/>
              <w:bottom w:val="nil"/>
              <w:right w:val="nil"/>
            </w:tcBorders>
            <w:tcMar>
              <w:top w:w="30" w:type="dxa"/>
              <w:left w:w="120" w:type="dxa"/>
              <w:bottom w:w="30" w:type="dxa"/>
              <w:right w:w="0" w:type="dxa"/>
            </w:tcMar>
            <w:vAlign w:val="center"/>
          </w:tcPr>
          <w:p w14:paraId="1B7E0EAA" w14:textId="77777777" w:rsidR="0093626A" w:rsidRDefault="00000000" w:rsidP="005915A7">
            <w:pPr>
              <w:spacing w:after="0" w:line="360" w:lineRule="auto"/>
              <w:jc w:val="right"/>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0.888</w:t>
            </w:r>
          </w:p>
        </w:tc>
        <w:tc>
          <w:tcPr>
            <w:tcW w:w="342" w:type="pct"/>
            <w:tcBorders>
              <w:top w:val="nil"/>
              <w:left w:val="nil"/>
              <w:bottom w:val="nil"/>
              <w:right w:val="nil"/>
            </w:tcBorders>
            <w:tcMar>
              <w:top w:w="30" w:type="dxa"/>
              <w:left w:w="30" w:type="dxa"/>
              <w:bottom w:w="30" w:type="dxa"/>
              <w:right w:w="120" w:type="dxa"/>
            </w:tcMar>
            <w:vAlign w:val="center"/>
          </w:tcPr>
          <w:p w14:paraId="4E054568" w14:textId="77777777" w:rsidR="0093626A" w:rsidRDefault="0093626A" w:rsidP="005915A7">
            <w:pPr>
              <w:spacing w:after="0" w:line="360" w:lineRule="auto"/>
              <w:jc w:val="right"/>
              <w:rPr>
                <w:rFonts w:ascii="Arial" w:eastAsia="Times New Roman" w:hAnsi="Arial" w:cs="Arial"/>
                <w:color w:val="333333"/>
                <w:kern w:val="0"/>
                <w:sz w:val="24"/>
                <w:szCs w:val="24"/>
                <w:lang w:eastAsia="es-MX"/>
                <w14:ligatures w14:val="none"/>
              </w:rPr>
            </w:pPr>
          </w:p>
        </w:tc>
      </w:tr>
      <w:tr w:rsidR="0093626A" w14:paraId="1C0EE7A0" w14:textId="77777777">
        <w:trPr>
          <w:cantSplit/>
          <w:tblCellSpacing w:w="15" w:type="dxa"/>
        </w:trPr>
        <w:tc>
          <w:tcPr>
            <w:tcW w:w="746" w:type="pct"/>
            <w:tcBorders>
              <w:top w:val="nil"/>
              <w:left w:val="nil"/>
              <w:bottom w:val="nil"/>
              <w:right w:val="nil"/>
            </w:tcBorders>
            <w:tcMar>
              <w:top w:w="30" w:type="dxa"/>
              <w:left w:w="120" w:type="dxa"/>
              <w:bottom w:w="30" w:type="dxa"/>
              <w:right w:w="0" w:type="dxa"/>
            </w:tcMar>
            <w:vAlign w:val="center"/>
          </w:tcPr>
          <w:p w14:paraId="4E57A1D0" w14:textId="77777777" w:rsidR="0093626A" w:rsidRDefault="00000000" w:rsidP="005915A7">
            <w:pPr>
              <w:spacing w:after="0" w:line="360" w:lineRule="auto"/>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NS1</w:t>
            </w:r>
          </w:p>
        </w:tc>
        <w:tc>
          <w:tcPr>
            <w:tcW w:w="231" w:type="pct"/>
            <w:tcBorders>
              <w:top w:val="nil"/>
              <w:left w:val="nil"/>
              <w:bottom w:val="nil"/>
              <w:right w:val="nil"/>
            </w:tcBorders>
            <w:tcMar>
              <w:top w:w="30" w:type="dxa"/>
              <w:left w:w="30" w:type="dxa"/>
              <w:bottom w:w="30" w:type="dxa"/>
              <w:right w:w="120" w:type="dxa"/>
            </w:tcMar>
            <w:vAlign w:val="center"/>
          </w:tcPr>
          <w:p w14:paraId="12E781A8" w14:textId="77777777" w:rsidR="0093626A" w:rsidRDefault="0093626A" w:rsidP="005915A7">
            <w:pPr>
              <w:spacing w:after="0" w:line="360" w:lineRule="auto"/>
              <w:rPr>
                <w:rFonts w:ascii="Arial" w:eastAsia="Times New Roman" w:hAnsi="Arial" w:cs="Arial"/>
                <w:color w:val="333333"/>
                <w:kern w:val="0"/>
                <w:sz w:val="24"/>
                <w:szCs w:val="24"/>
                <w:lang w:eastAsia="es-MX"/>
                <w14:ligatures w14:val="none"/>
              </w:rPr>
            </w:pPr>
          </w:p>
        </w:tc>
        <w:tc>
          <w:tcPr>
            <w:tcW w:w="875" w:type="pct"/>
            <w:tcBorders>
              <w:top w:val="nil"/>
              <w:left w:val="nil"/>
              <w:bottom w:val="nil"/>
              <w:right w:val="nil"/>
            </w:tcBorders>
            <w:tcMar>
              <w:top w:w="30" w:type="dxa"/>
              <w:left w:w="120" w:type="dxa"/>
              <w:bottom w:w="30" w:type="dxa"/>
              <w:right w:w="0" w:type="dxa"/>
            </w:tcMar>
            <w:vAlign w:val="center"/>
          </w:tcPr>
          <w:p w14:paraId="5665BC62" w14:textId="77777777" w:rsidR="0093626A" w:rsidRDefault="00000000" w:rsidP="005915A7">
            <w:pPr>
              <w:spacing w:after="0" w:line="360" w:lineRule="auto"/>
              <w:jc w:val="right"/>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4.42</w:t>
            </w:r>
          </w:p>
        </w:tc>
        <w:tc>
          <w:tcPr>
            <w:tcW w:w="269" w:type="pct"/>
            <w:tcBorders>
              <w:top w:val="nil"/>
              <w:left w:val="nil"/>
              <w:bottom w:val="nil"/>
              <w:right w:val="nil"/>
            </w:tcBorders>
            <w:tcMar>
              <w:top w:w="30" w:type="dxa"/>
              <w:left w:w="30" w:type="dxa"/>
              <w:bottom w:w="30" w:type="dxa"/>
              <w:right w:w="120" w:type="dxa"/>
            </w:tcMar>
            <w:vAlign w:val="center"/>
          </w:tcPr>
          <w:p w14:paraId="17F8D7D7" w14:textId="77777777" w:rsidR="0093626A" w:rsidRDefault="0093626A" w:rsidP="005915A7">
            <w:pPr>
              <w:spacing w:after="0" w:line="360" w:lineRule="auto"/>
              <w:jc w:val="right"/>
              <w:rPr>
                <w:rFonts w:ascii="Arial" w:eastAsia="Times New Roman" w:hAnsi="Arial" w:cs="Arial"/>
                <w:color w:val="333333"/>
                <w:kern w:val="0"/>
                <w:sz w:val="24"/>
                <w:szCs w:val="24"/>
                <w:lang w:eastAsia="es-MX"/>
                <w14:ligatures w14:val="none"/>
              </w:rPr>
            </w:pPr>
          </w:p>
        </w:tc>
        <w:tc>
          <w:tcPr>
            <w:tcW w:w="900" w:type="pct"/>
            <w:tcBorders>
              <w:top w:val="nil"/>
              <w:left w:val="nil"/>
              <w:bottom w:val="nil"/>
              <w:right w:val="nil"/>
            </w:tcBorders>
            <w:tcMar>
              <w:top w:w="30" w:type="dxa"/>
              <w:left w:w="120" w:type="dxa"/>
              <w:bottom w:w="30" w:type="dxa"/>
              <w:right w:w="0" w:type="dxa"/>
            </w:tcMar>
            <w:vAlign w:val="center"/>
          </w:tcPr>
          <w:p w14:paraId="407D1D96" w14:textId="77777777" w:rsidR="0093626A" w:rsidRDefault="00000000" w:rsidP="005915A7">
            <w:pPr>
              <w:spacing w:after="0" w:line="360" w:lineRule="auto"/>
              <w:jc w:val="right"/>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5</w:t>
            </w:r>
          </w:p>
        </w:tc>
        <w:tc>
          <w:tcPr>
            <w:tcW w:w="591" w:type="pct"/>
            <w:tcBorders>
              <w:top w:val="nil"/>
              <w:left w:val="nil"/>
              <w:bottom w:val="nil"/>
              <w:right w:val="nil"/>
            </w:tcBorders>
            <w:tcMar>
              <w:top w:w="30" w:type="dxa"/>
              <w:left w:w="30" w:type="dxa"/>
              <w:bottom w:w="30" w:type="dxa"/>
              <w:right w:w="120" w:type="dxa"/>
            </w:tcMar>
            <w:vAlign w:val="center"/>
          </w:tcPr>
          <w:p w14:paraId="1AE4CC1A" w14:textId="77777777" w:rsidR="0093626A" w:rsidRDefault="0093626A" w:rsidP="005915A7">
            <w:pPr>
              <w:spacing w:after="0" w:line="360" w:lineRule="auto"/>
              <w:jc w:val="right"/>
              <w:rPr>
                <w:rFonts w:ascii="Arial" w:eastAsia="Times New Roman" w:hAnsi="Arial" w:cs="Arial"/>
                <w:color w:val="333333"/>
                <w:kern w:val="0"/>
                <w:sz w:val="24"/>
                <w:szCs w:val="24"/>
                <w:lang w:eastAsia="es-MX"/>
                <w14:ligatures w14:val="none"/>
              </w:rPr>
            </w:pPr>
          </w:p>
        </w:tc>
        <w:tc>
          <w:tcPr>
            <w:tcW w:w="895" w:type="pct"/>
            <w:tcBorders>
              <w:top w:val="nil"/>
              <w:left w:val="nil"/>
              <w:bottom w:val="nil"/>
              <w:right w:val="nil"/>
            </w:tcBorders>
            <w:tcMar>
              <w:top w:w="30" w:type="dxa"/>
              <w:left w:w="120" w:type="dxa"/>
              <w:bottom w:w="30" w:type="dxa"/>
              <w:right w:w="0" w:type="dxa"/>
            </w:tcMar>
            <w:vAlign w:val="center"/>
          </w:tcPr>
          <w:p w14:paraId="5676B54B" w14:textId="77777777" w:rsidR="0093626A" w:rsidRDefault="00000000" w:rsidP="005915A7">
            <w:pPr>
              <w:spacing w:after="0" w:line="360" w:lineRule="auto"/>
              <w:jc w:val="right"/>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0.909</w:t>
            </w:r>
          </w:p>
        </w:tc>
        <w:tc>
          <w:tcPr>
            <w:tcW w:w="342" w:type="pct"/>
            <w:tcBorders>
              <w:top w:val="nil"/>
              <w:left w:val="nil"/>
              <w:bottom w:val="nil"/>
              <w:right w:val="nil"/>
            </w:tcBorders>
            <w:tcMar>
              <w:top w:w="30" w:type="dxa"/>
              <w:left w:w="30" w:type="dxa"/>
              <w:bottom w:w="30" w:type="dxa"/>
              <w:right w:w="120" w:type="dxa"/>
            </w:tcMar>
            <w:vAlign w:val="center"/>
          </w:tcPr>
          <w:p w14:paraId="2315F2C3" w14:textId="77777777" w:rsidR="0093626A" w:rsidRDefault="0093626A" w:rsidP="005915A7">
            <w:pPr>
              <w:spacing w:after="0" w:line="360" w:lineRule="auto"/>
              <w:jc w:val="right"/>
              <w:rPr>
                <w:rFonts w:ascii="Arial" w:eastAsia="Times New Roman" w:hAnsi="Arial" w:cs="Arial"/>
                <w:color w:val="333333"/>
                <w:kern w:val="0"/>
                <w:sz w:val="24"/>
                <w:szCs w:val="24"/>
                <w:lang w:eastAsia="es-MX"/>
                <w14:ligatures w14:val="none"/>
              </w:rPr>
            </w:pPr>
          </w:p>
        </w:tc>
      </w:tr>
      <w:tr w:rsidR="0093626A" w14:paraId="59CFD053" w14:textId="77777777">
        <w:trPr>
          <w:cantSplit/>
          <w:tblCellSpacing w:w="15" w:type="dxa"/>
        </w:trPr>
        <w:tc>
          <w:tcPr>
            <w:tcW w:w="746" w:type="pct"/>
            <w:tcBorders>
              <w:top w:val="nil"/>
              <w:left w:val="nil"/>
              <w:bottom w:val="nil"/>
              <w:right w:val="nil"/>
            </w:tcBorders>
            <w:tcMar>
              <w:top w:w="30" w:type="dxa"/>
              <w:left w:w="120" w:type="dxa"/>
              <w:bottom w:w="30" w:type="dxa"/>
              <w:right w:w="0" w:type="dxa"/>
            </w:tcMar>
            <w:vAlign w:val="center"/>
          </w:tcPr>
          <w:p w14:paraId="02D8B53A" w14:textId="77777777" w:rsidR="0093626A" w:rsidRDefault="00000000" w:rsidP="005915A7">
            <w:pPr>
              <w:spacing w:after="0" w:line="360" w:lineRule="auto"/>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NS2</w:t>
            </w:r>
          </w:p>
        </w:tc>
        <w:tc>
          <w:tcPr>
            <w:tcW w:w="231" w:type="pct"/>
            <w:tcBorders>
              <w:top w:val="nil"/>
              <w:left w:val="nil"/>
              <w:bottom w:val="nil"/>
              <w:right w:val="nil"/>
            </w:tcBorders>
            <w:tcMar>
              <w:top w:w="30" w:type="dxa"/>
              <w:left w:w="30" w:type="dxa"/>
              <w:bottom w:w="30" w:type="dxa"/>
              <w:right w:w="120" w:type="dxa"/>
            </w:tcMar>
            <w:vAlign w:val="center"/>
          </w:tcPr>
          <w:p w14:paraId="4EAD2C37" w14:textId="77777777" w:rsidR="0093626A" w:rsidRDefault="0093626A" w:rsidP="005915A7">
            <w:pPr>
              <w:spacing w:after="0" w:line="360" w:lineRule="auto"/>
              <w:rPr>
                <w:rFonts w:ascii="Arial" w:eastAsia="Times New Roman" w:hAnsi="Arial" w:cs="Arial"/>
                <w:color w:val="333333"/>
                <w:kern w:val="0"/>
                <w:sz w:val="24"/>
                <w:szCs w:val="24"/>
                <w:lang w:eastAsia="es-MX"/>
                <w14:ligatures w14:val="none"/>
              </w:rPr>
            </w:pPr>
          </w:p>
        </w:tc>
        <w:tc>
          <w:tcPr>
            <w:tcW w:w="875" w:type="pct"/>
            <w:tcBorders>
              <w:top w:val="nil"/>
              <w:left w:val="nil"/>
              <w:bottom w:val="nil"/>
              <w:right w:val="nil"/>
            </w:tcBorders>
            <w:tcMar>
              <w:top w:w="30" w:type="dxa"/>
              <w:left w:w="120" w:type="dxa"/>
              <w:bottom w:w="30" w:type="dxa"/>
              <w:right w:w="0" w:type="dxa"/>
            </w:tcMar>
            <w:vAlign w:val="center"/>
          </w:tcPr>
          <w:p w14:paraId="64861206" w14:textId="77777777" w:rsidR="0093626A" w:rsidRDefault="00000000" w:rsidP="005915A7">
            <w:pPr>
              <w:spacing w:after="0" w:line="360" w:lineRule="auto"/>
              <w:jc w:val="right"/>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3.88</w:t>
            </w:r>
          </w:p>
        </w:tc>
        <w:tc>
          <w:tcPr>
            <w:tcW w:w="269" w:type="pct"/>
            <w:tcBorders>
              <w:top w:val="nil"/>
              <w:left w:val="nil"/>
              <w:bottom w:val="nil"/>
              <w:right w:val="nil"/>
            </w:tcBorders>
            <w:tcMar>
              <w:top w:w="30" w:type="dxa"/>
              <w:left w:w="30" w:type="dxa"/>
              <w:bottom w:w="30" w:type="dxa"/>
              <w:right w:w="120" w:type="dxa"/>
            </w:tcMar>
            <w:vAlign w:val="center"/>
          </w:tcPr>
          <w:p w14:paraId="066E4B12" w14:textId="77777777" w:rsidR="0093626A" w:rsidRDefault="0093626A" w:rsidP="005915A7">
            <w:pPr>
              <w:spacing w:after="0" w:line="360" w:lineRule="auto"/>
              <w:jc w:val="right"/>
              <w:rPr>
                <w:rFonts w:ascii="Arial" w:eastAsia="Times New Roman" w:hAnsi="Arial" w:cs="Arial"/>
                <w:color w:val="333333"/>
                <w:kern w:val="0"/>
                <w:sz w:val="24"/>
                <w:szCs w:val="24"/>
                <w:lang w:eastAsia="es-MX"/>
                <w14:ligatures w14:val="none"/>
              </w:rPr>
            </w:pPr>
          </w:p>
        </w:tc>
        <w:tc>
          <w:tcPr>
            <w:tcW w:w="900" w:type="pct"/>
            <w:tcBorders>
              <w:top w:val="nil"/>
              <w:left w:val="nil"/>
              <w:bottom w:val="nil"/>
              <w:right w:val="nil"/>
            </w:tcBorders>
            <w:tcMar>
              <w:top w:w="30" w:type="dxa"/>
              <w:left w:w="120" w:type="dxa"/>
              <w:bottom w:w="30" w:type="dxa"/>
              <w:right w:w="0" w:type="dxa"/>
            </w:tcMar>
            <w:vAlign w:val="center"/>
          </w:tcPr>
          <w:p w14:paraId="5042B1AD" w14:textId="77777777" w:rsidR="0093626A" w:rsidRDefault="00000000" w:rsidP="005915A7">
            <w:pPr>
              <w:spacing w:after="0" w:line="360" w:lineRule="auto"/>
              <w:jc w:val="right"/>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4</w:t>
            </w:r>
          </w:p>
        </w:tc>
        <w:tc>
          <w:tcPr>
            <w:tcW w:w="591" w:type="pct"/>
            <w:tcBorders>
              <w:top w:val="nil"/>
              <w:left w:val="nil"/>
              <w:bottom w:val="nil"/>
              <w:right w:val="nil"/>
            </w:tcBorders>
            <w:tcMar>
              <w:top w:w="30" w:type="dxa"/>
              <w:left w:w="30" w:type="dxa"/>
              <w:bottom w:w="30" w:type="dxa"/>
              <w:right w:w="120" w:type="dxa"/>
            </w:tcMar>
            <w:vAlign w:val="center"/>
          </w:tcPr>
          <w:p w14:paraId="29A72645" w14:textId="77777777" w:rsidR="0093626A" w:rsidRDefault="0093626A" w:rsidP="005915A7">
            <w:pPr>
              <w:spacing w:after="0" w:line="360" w:lineRule="auto"/>
              <w:jc w:val="right"/>
              <w:rPr>
                <w:rFonts w:ascii="Arial" w:eastAsia="Times New Roman" w:hAnsi="Arial" w:cs="Arial"/>
                <w:color w:val="333333"/>
                <w:kern w:val="0"/>
                <w:sz w:val="24"/>
                <w:szCs w:val="24"/>
                <w:lang w:eastAsia="es-MX"/>
                <w14:ligatures w14:val="none"/>
              </w:rPr>
            </w:pPr>
          </w:p>
        </w:tc>
        <w:tc>
          <w:tcPr>
            <w:tcW w:w="895" w:type="pct"/>
            <w:tcBorders>
              <w:top w:val="nil"/>
              <w:left w:val="nil"/>
              <w:bottom w:val="nil"/>
              <w:right w:val="nil"/>
            </w:tcBorders>
            <w:tcMar>
              <w:top w:w="30" w:type="dxa"/>
              <w:left w:w="120" w:type="dxa"/>
              <w:bottom w:w="30" w:type="dxa"/>
              <w:right w:w="0" w:type="dxa"/>
            </w:tcMar>
            <w:vAlign w:val="center"/>
          </w:tcPr>
          <w:p w14:paraId="0C73F88A" w14:textId="77777777" w:rsidR="0093626A" w:rsidRDefault="00000000" w:rsidP="005915A7">
            <w:pPr>
              <w:spacing w:after="0" w:line="360" w:lineRule="auto"/>
              <w:jc w:val="right"/>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1.021</w:t>
            </w:r>
          </w:p>
        </w:tc>
        <w:tc>
          <w:tcPr>
            <w:tcW w:w="342" w:type="pct"/>
            <w:tcBorders>
              <w:top w:val="nil"/>
              <w:left w:val="nil"/>
              <w:bottom w:val="nil"/>
              <w:right w:val="nil"/>
            </w:tcBorders>
            <w:tcMar>
              <w:top w:w="30" w:type="dxa"/>
              <w:left w:w="30" w:type="dxa"/>
              <w:bottom w:w="30" w:type="dxa"/>
              <w:right w:w="120" w:type="dxa"/>
            </w:tcMar>
            <w:vAlign w:val="center"/>
          </w:tcPr>
          <w:p w14:paraId="581286F2" w14:textId="77777777" w:rsidR="0093626A" w:rsidRDefault="0093626A" w:rsidP="005915A7">
            <w:pPr>
              <w:spacing w:after="0" w:line="360" w:lineRule="auto"/>
              <w:jc w:val="right"/>
              <w:rPr>
                <w:rFonts w:ascii="Arial" w:eastAsia="Times New Roman" w:hAnsi="Arial" w:cs="Arial"/>
                <w:color w:val="333333"/>
                <w:kern w:val="0"/>
                <w:sz w:val="24"/>
                <w:szCs w:val="24"/>
                <w:lang w:eastAsia="es-MX"/>
                <w14:ligatures w14:val="none"/>
              </w:rPr>
            </w:pPr>
          </w:p>
        </w:tc>
      </w:tr>
      <w:tr w:rsidR="0093626A" w14:paraId="7FFA22E9" w14:textId="77777777">
        <w:trPr>
          <w:cantSplit/>
          <w:tblCellSpacing w:w="15" w:type="dxa"/>
        </w:trPr>
        <w:tc>
          <w:tcPr>
            <w:tcW w:w="746" w:type="pct"/>
            <w:tcBorders>
              <w:top w:val="nil"/>
              <w:left w:val="nil"/>
              <w:bottom w:val="nil"/>
              <w:right w:val="nil"/>
            </w:tcBorders>
            <w:tcMar>
              <w:top w:w="30" w:type="dxa"/>
              <w:left w:w="120" w:type="dxa"/>
              <w:bottom w:w="30" w:type="dxa"/>
              <w:right w:w="0" w:type="dxa"/>
            </w:tcMar>
            <w:vAlign w:val="center"/>
          </w:tcPr>
          <w:p w14:paraId="1477D4E6" w14:textId="77777777" w:rsidR="0093626A" w:rsidRDefault="00000000" w:rsidP="005915A7">
            <w:pPr>
              <w:spacing w:after="0" w:line="360" w:lineRule="auto"/>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NS3</w:t>
            </w:r>
          </w:p>
        </w:tc>
        <w:tc>
          <w:tcPr>
            <w:tcW w:w="231" w:type="pct"/>
            <w:tcBorders>
              <w:top w:val="nil"/>
              <w:left w:val="nil"/>
              <w:bottom w:val="nil"/>
              <w:right w:val="nil"/>
            </w:tcBorders>
            <w:tcMar>
              <w:top w:w="30" w:type="dxa"/>
              <w:left w:w="30" w:type="dxa"/>
              <w:bottom w:w="30" w:type="dxa"/>
              <w:right w:w="120" w:type="dxa"/>
            </w:tcMar>
            <w:vAlign w:val="center"/>
          </w:tcPr>
          <w:p w14:paraId="542F3FBD" w14:textId="77777777" w:rsidR="0093626A" w:rsidRDefault="0093626A" w:rsidP="005915A7">
            <w:pPr>
              <w:spacing w:after="0" w:line="360" w:lineRule="auto"/>
              <w:rPr>
                <w:rFonts w:ascii="Arial" w:eastAsia="Times New Roman" w:hAnsi="Arial" w:cs="Arial"/>
                <w:color w:val="333333"/>
                <w:kern w:val="0"/>
                <w:sz w:val="24"/>
                <w:szCs w:val="24"/>
                <w:lang w:eastAsia="es-MX"/>
                <w14:ligatures w14:val="none"/>
              </w:rPr>
            </w:pPr>
          </w:p>
        </w:tc>
        <w:tc>
          <w:tcPr>
            <w:tcW w:w="875" w:type="pct"/>
            <w:tcBorders>
              <w:top w:val="nil"/>
              <w:left w:val="nil"/>
              <w:bottom w:val="nil"/>
              <w:right w:val="nil"/>
            </w:tcBorders>
            <w:tcMar>
              <w:top w:w="30" w:type="dxa"/>
              <w:left w:w="120" w:type="dxa"/>
              <w:bottom w:w="30" w:type="dxa"/>
              <w:right w:w="0" w:type="dxa"/>
            </w:tcMar>
            <w:vAlign w:val="center"/>
          </w:tcPr>
          <w:p w14:paraId="33AD1ABD" w14:textId="77777777" w:rsidR="0093626A" w:rsidRDefault="00000000" w:rsidP="005915A7">
            <w:pPr>
              <w:spacing w:after="0" w:line="360" w:lineRule="auto"/>
              <w:jc w:val="right"/>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3.64</w:t>
            </w:r>
          </w:p>
        </w:tc>
        <w:tc>
          <w:tcPr>
            <w:tcW w:w="269" w:type="pct"/>
            <w:tcBorders>
              <w:top w:val="nil"/>
              <w:left w:val="nil"/>
              <w:bottom w:val="nil"/>
              <w:right w:val="nil"/>
            </w:tcBorders>
            <w:tcMar>
              <w:top w:w="30" w:type="dxa"/>
              <w:left w:w="30" w:type="dxa"/>
              <w:bottom w:w="30" w:type="dxa"/>
              <w:right w:w="120" w:type="dxa"/>
            </w:tcMar>
            <w:vAlign w:val="center"/>
          </w:tcPr>
          <w:p w14:paraId="12E79FC7" w14:textId="77777777" w:rsidR="0093626A" w:rsidRDefault="0093626A" w:rsidP="005915A7">
            <w:pPr>
              <w:spacing w:after="0" w:line="360" w:lineRule="auto"/>
              <w:jc w:val="right"/>
              <w:rPr>
                <w:rFonts w:ascii="Arial" w:eastAsia="Times New Roman" w:hAnsi="Arial" w:cs="Arial"/>
                <w:color w:val="333333"/>
                <w:kern w:val="0"/>
                <w:sz w:val="24"/>
                <w:szCs w:val="24"/>
                <w:lang w:eastAsia="es-MX"/>
                <w14:ligatures w14:val="none"/>
              </w:rPr>
            </w:pPr>
          </w:p>
        </w:tc>
        <w:tc>
          <w:tcPr>
            <w:tcW w:w="900" w:type="pct"/>
            <w:tcBorders>
              <w:top w:val="nil"/>
              <w:left w:val="nil"/>
              <w:bottom w:val="nil"/>
              <w:right w:val="nil"/>
            </w:tcBorders>
            <w:tcMar>
              <w:top w:w="30" w:type="dxa"/>
              <w:left w:w="120" w:type="dxa"/>
              <w:bottom w:w="30" w:type="dxa"/>
              <w:right w:w="0" w:type="dxa"/>
            </w:tcMar>
            <w:vAlign w:val="center"/>
          </w:tcPr>
          <w:p w14:paraId="5AE943F9" w14:textId="77777777" w:rsidR="0093626A" w:rsidRDefault="00000000" w:rsidP="005915A7">
            <w:pPr>
              <w:spacing w:after="0" w:line="360" w:lineRule="auto"/>
              <w:jc w:val="right"/>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4</w:t>
            </w:r>
          </w:p>
        </w:tc>
        <w:tc>
          <w:tcPr>
            <w:tcW w:w="591" w:type="pct"/>
            <w:tcBorders>
              <w:top w:val="nil"/>
              <w:left w:val="nil"/>
              <w:bottom w:val="nil"/>
              <w:right w:val="nil"/>
            </w:tcBorders>
            <w:tcMar>
              <w:top w:w="30" w:type="dxa"/>
              <w:left w:w="30" w:type="dxa"/>
              <w:bottom w:w="30" w:type="dxa"/>
              <w:right w:w="120" w:type="dxa"/>
            </w:tcMar>
            <w:vAlign w:val="center"/>
          </w:tcPr>
          <w:p w14:paraId="41E18784" w14:textId="77777777" w:rsidR="0093626A" w:rsidRDefault="0093626A" w:rsidP="005915A7">
            <w:pPr>
              <w:spacing w:after="0" w:line="360" w:lineRule="auto"/>
              <w:jc w:val="right"/>
              <w:rPr>
                <w:rFonts w:ascii="Arial" w:eastAsia="Times New Roman" w:hAnsi="Arial" w:cs="Arial"/>
                <w:color w:val="333333"/>
                <w:kern w:val="0"/>
                <w:sz w:val="24"/>
                <w:szCs w:val="24"/>
                <w:lang w:eastAsia="es-MX"/>
                <w14:ligatures w14:val="none"/>
              </w:rPr>
            </w:pPr>
          </w:p>
        </w:tc>
        <w:tc>
          <w:tcPr>
            <w:tcW w:w="895" w:type="pct"/>
            <w:tcBorders>
              <w:top w:val="nil"/>
              <w:left w:val="nil"/>
              <w:bottom w:val="nil"/>
              <w:right w:val="nil"/>
            </w:tcBorders>
            <w:tcMar>
              <w:top w:w="30" w:type="dxa"/>
              <w:left w:w="120" w:type="dxa"/>
              <w:bottom w:w="30" w:type="dxa"/>
              <w:right w:w="0" w:type="dxa"/>
            </w:tcMar>
            <w:vAlign w:val="center"/>
          </w:tcPr>
          <w:p w14:paraId="0418A78D" w14:textId="77777777" w:rsidR="0093626A" w:rsidRDefault="00000000" w:rsidP="005915A7">
            <w:pPr>
              <w:spacing w:after="0" w:line="360" w:lineRule="auto"/>
              <w:jc w:val="right"/>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1.214</w:t>
            </w:r>
          </w:p>
        </w:tc>
        <w:tc>
          <w:tcPr>
            <w:tcW w:w="342" w:type="pct"/>
            <w:tcBorders>
              <w:top w:val="nil"/>
              <w:left w:val="nil"/>
              <w:bottom w:val="nil"/>
              <w:right w:val="nil"/>
            </w:tcBorders>
            <w:tcMar>
              <w:top w:w="30" w:type="dxa"/>
              <w:left w:w="30" w:type="dxa"/>
              <w:bottom w:w="30" w:type="dxa"/>
              <w:right w:w="120" w:type="dxa"/>
            </w:tcMar>
            <w:vAlign w:val="center"/>
          </w:tcPr>
          <w:p w14:paraId="40E08279" w14:textId="77777777" w:rsidR="0093626A" w:rsidRDefault="0093626A" w:rsidP="005915A7">
            <w:pPr>
              <w:spacing w:after="0" w:line="360" w:lineRule="auto"/>
              <w:jc w:val="right"/>
              <w:rPr>
                <w:rFonts w:ascii="Arial" w:eastAsia="Times New Roman" w:hAnsi="Arial" w:cs="Arial"/>
                <w:color w:val="333333"/>
                <w:kern w:val="0"/>
                <w:sz w:val="24"/>
                <w:szCs w:val="24"/>
                <w:lang w:eastAsia="es-MX"/>
                <w14:ligatures w14:val="none"/>
              </w:rPr>
            </w:pPr>
          </w:p>
        </w:tc>
      </w:tr>
      <w:tr w:rsidR="0093626A" w14:paraId="2062A2B3" w14:textId="77777777">
        <w:trPr>
          <w:cantSplit/>
          <w:tblCellSpacing w:w="15" w:type="dxa"/>
        </w:trPr>
        <w:tc>
          <w:tcPr>
            <w:tcW w:w="746" w:type="pct"/>
            <w:tcBorders>
              <w:top w:val="nil"/>
              <w:left w:val="nil"/>
              <w:bottom w:val="nil"/>
              <w:right w:val="nil"/>
            </w:tcBorders>
            <w:tcMar>
              <w:top w:w="30" w:type="dxa"/>
              <w:left w:w="120" w:type="dxa"/>
              <w:bottom w:w="30" w:type="dxa"/>
              <w:right w:w="0" w:type="dxa"/>
            </w:tcMar>
            <w:vAlign w:val="center"/>
          </w:tcPr>
          <w:p w14:paraId="3A1A455F" w14:textId="77777777" w:rsidR="0093626A" w:rsidRDefault="00000000" w:rsidP="005915A7">
            <w:pPr>
              <w:spacing w:after="0" w:line="360" w:lineRule="auto"/>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NS4</w:t>
            </w:r>
          </w:p>
        </w:tc>
        <w:tc>
          <w:tcPr>
            <w:tcW w:w="231" w:type="pct"/>
            <w:tcBorders>
              <w:top w:val="nil"/>
              <w:left w:val="nil"/>
              <w:bottom w:val="nil"/>
              <w:right w:val="nil"/>
            </w:tcBorders>
            <w:tcMar>
              <w:top w:w="30" w:type="dxa"/>
              <w:left w:w="30" w:type="dxa"/>
              <w:bottom w:w="30" w:type="dxa"/>
              <w:right w:w="120" w:type="dxa"/>
            </w:tcMar>
            <w:vAlign w:val="center"/>
          </w:tcPr>
          <w:p w14:paraId="1CE429C0" w14:textId="77777777" w:rsidR="0093626A" w:rsidRDefault="0093626A" w:rsidP="005915A7">
            <w:pPr>
              <w:spacing w:after="0" w:line="360" w:lineRule="auto"/>
              <w:rPr>
                <w:rFonts w:ascii="Arial" w:eastAsia="Times New Roman" w:hAnsi="Arial" w:cs="Arial"/>
                <w:color w:val="333333"/>
                <w:kern w:val="0"/>
                <w:sz w:val="24"/>
                <w:szCs w:val="24"/>
                <w:lang w:eastAsia="es-MX"/>
                <w14:ligatures w14:val="none"/>
              </w:rPr>
            </w:pPr>
          </w:p>
        </w:tc>
        <w:tc>
          <w:tcPr>
            <w:tcW w:w="875" w:type="pct"/>
            <w:tcBorders>
              <w:top w:val="nil"/>
              <w:left w:val="nil"/>
              <w:bottom w:val="nil"/>
              <w:right w:val="nil"/>
            </w:tcBorders>
            <w:tcMar>
              <w:top w:w="30" w:type="dxa"/>
              <w:left w:w="120" w:type="dxa"/>
              <w:bottom w:w="30" w:type="dxa"/>
              <w:right w:w="0" w:type="dxa"/>
            </w:tcMar>
            <w:vAlign w:val="center"/>
          </w:tcPr>
          <w:p w14:paraId="7822753A" w14:textId="77777777" w:rsidR="0093626A" w:rsidRDefault="00000000" w:rsidP="005915A7">
            <w:pPr>
              <w:spacing w:after="0" w:line="360" w:lineRule="auto"/>
              <w:jc w:val="right"/>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4.06</w:t>
            </w:r>
          </w:p>
        </w:tc>
        <w:tc>
          <w:tcPr>
            <w:tcW w:w="269" w:type="pct"/>
            <w:tcBorders>
              <w:top w:val="nil"/>
              <w:left w:val="nil"/>
              <w:bottom w:val="nil"/>
              <w:right w:val="nil"/>
            </w:tcBorders>
            <w:tcMar>
              <w:top w:w="30" w:type="dxa"/>
              <w:left w:w="30" w:type="dxa"/>
              <w:bottom w:w="30" w:type="dxa"/>
              <w:right w:w="120" w:type="dxa"/>
            </w:tcMar>
            <w:vAlign w:val="center"/>
          </w:tcPr>
          <w:p w14:paraId="5CF8210A" w14:textId="77777777" w:rsidR="0093626A" w:rsidRDefault="0093626A" w:rsidP="005915A7">
            <w:pPr>
              <w:spacing w:after="0" w:line="360" w:lineRule="auto"/>
              <w:jc w:val="right"/>
              <w:rPr>
                <w:rFonts w:ascii="Arial" w:eastAsia="Times New Roman" w:hAnsi="Arial" w:cs="Arial"/>
                <w:color w:val="333333"/>
                <w:kern w:val="0"/>
                <w:sz w:val="24"/>
                <w:szCs w:val="24"/>
                <w:lang w:eastAsia="es-MX"/>
                <w14:ligatures w14:val="none"/>
              </w:rPr>
            </w:pPr>
          </w:p>
        </w:tc>
        <w:tc>
          <w:tcPr>
            <w:tcW w:w="900" w:type="pct"/>
            <w:tcBorders>
              <w:top w:val="nil"/>
              <w:left w:val="nil"/>
              <w:bottom w:val="nil"/>
              <w:right w:val="nil"/>
            </w:tcBorders>
            <w:tcMar>
              <w:top w:w="30" w:type="dxa"/>
              <w:left w:w="120" w:type="dxa"/>
              <w:bottom w:w="30" w:type="dxa"/>
              <w:right w:w="0" w:type="dxa"/>
            </w:tcMar>
            <w:vAlign w:val="center"/>
          </w:tcPr>
          <w:p w14:paraId="361856EC" w14:textId="77777777" w:rsidR="0093626A" w:rsidRDefault="00000000" w:rsidP="005915A7">
            <w:pPr>
              <w:spacing w:after="0" w:line="360" w:lineRule="auto"/>
              <w:jc w:val="right"/>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4</w:t>
            </w:r>
          </w:p>
        </w:tc>
        <w:tc>
          <w:tcPr>
            <w:tcW w:w="591" w:type="pct"/>
            <w:tcBorders>
              <w:top w:val="nil"/>
              <w:left w:val="nil"/>
              <w:bottom w:val="nil"/>
              <w:right w:val="nil"/>
            </w:tcBorders>
            <w:tcMar>
              <w:top w:w="30" w:type="dxa"/>
              <w:left w:w="30" w:type="dxa"/>
              <w:bottom w:w="30" w:type="dxa"/>
              <w:right w:w="120" w:type="dxa"/>
            </w:tcMar>
            <w:vAlign w:val="center"/>
          </w:tcPr>
          <w:p w14:paraId="5ECB70DA" w14:textId="77777777" w:rsidR="0093626A" w:rsidRDefault="0093626A" w:rsidP="005915A7">
            <w:pPr>
              <w:spacing w:after="0" w:line="360" w:lineRule="auto"/>
              <w:jc w:val="right"/>
              <w:rPr>
                <w:rFonts w:ascii="Arial" w:eastAsia="Times New Roman" w:hAnsi="Arial" w:cs="Arial"/>
                <w:color w:val="333333"/>
                <w:kern w:val="0"/>
                <w:sz w:val="24"/>
                <w:szCs w:val="24"/>
                <w:lang w:eastAsia="es-MX"/>
                <w14:ligatures w14:val="none"/>
              </w:rPr>
            </w:pPr>
          </w:p>
        </w:tc>
        <w:tc>
          <w:tcPr>
            <w:tcW w:w="895" w:type="pct"/>
            <w:tcBorders>
              <w:top w:val="nil"/>
              <w:left w:val="nil"/>
              <w:bottom w:val="nil"/>
              <w:right w:val="nil"/>
            </w:tcBorders>
            <w:tcMar>
              <w:top w:w="30" w:type="dxa"/>
              <w:left w:w="120" w:type="dxa"/>
              <w:bottom w:w="30" w:type="dxa"/>
              <w:right w:w="0" w:type="dxa"/>
            </w:tcMar>
            <w:vAlign w:val="center"/>
          </w:tcPr>
          <w:p w14:paraId="3DB54239" w14:textId="77777777" w:rsidR="0093626A" w:rsidRDefault="00000000" w:rsidP="005915A7">
            <w:pPr>
              <w:spacing w:after="0" w:line="360" w:lineRule="auto"/>
              <w:jc w:val="right"/>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1.034</w:t>
            </w:r>
          </w:p>
        </w:tc>
        <w:tc>
          <w:tcPr>
            <w:tcW w:w="342" w:type="pct"/>
            <w:tcBorders>
              <w:top w:val="nil"/>
              <w:left w:val="nil"/>
              <w:bottom w:val="nil"/>
              <w:right w:val="nil"/>
            </w:tcBorders>
            <w:tcMar>
              <w:top w:w="30" w:type="dxa"/>
              <w:left w:w="30" w:type="dxa"/>
              <w:bottom w:w="30" w:type="dxa"/>
              <w:right w:w="120" w:type="dxa"/>
            </w:tcMar>
            <w:vAlign w:val="center"/>
          </w:tcPr>
          <w:p w14:paraId="6DBA552D" w14:textId="77777777" w:rsidR="0093626A" w:rsidRDefault="0093626A" w:rsidP="005915A7">
            <w:pPr>
              <w:spacing w:after="0" w:line="360" w:lineRule="auto"/>
              <w:jc w:val="right"/>
              <w:rPr>
                <w:rFonts w:ascii="Arial" w:eastAsia="Times New Roman" w:hAnsi="Arial" w:cs="Arial"/>
                <w:color w:val="333333"/>
                <w:kern w:val="0"/>
                <w:sz w:val="24"/>
                <w:szCs w:val="24"/>
                <w:lang w:eastAsia="es-MX"/>
                <w14:ligatures w14:val="none"/>
              </w:rPr>
            </w:pPr>
          </w:p>
        </w:tc>
      </w:tr>
      <w:tr w:rsidR="0093626A" w14:paraId="3228EC54" w14:textId="77777777">
        <w:trPr>
          <w:cantSplit/>
          <w:tblCellSpacing w:w="15" w:type="dxa"/>
        </w:trPr>
        <w:tc>
          <w:tcPr>
            <w:tcW w:w="746" w:type="pct"/>
            <w:tcBorders>
              <w:top w:val="nil"/>
              <w:left w:val="nil"/>
              <w:bottom w:val="nil"/>
              <w:right w:val="nil"/>
            </w:tcBorders>
            <w:tcMar>
              <w:top w:w="30" w:type="dxa"/>
              <w:left w:w="120" w:type="dxa"/>
              <w:bottom w:w="30" w:type="dxa"/>
              <w:right w:w="0" w:type="dxa"/>
            </w:tcMar>
            <w:vAlign w:val="center"/>
          </w:tcPr>
          <w:p w14:paraId="0308708B" w14:textId="77777777" w:rsidR="0093626A" w:rsidRDefault="00000000" w:rsidP="005915A7">
            <w:pPr>
              <w:spacing w:after="0" w:line="360" w:lineRule="auto"/>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lastRenderedPageBreak/>
              <w:t>NS5</w:t>
            </w:r>
          </w:p>
        </w:tc>
        <w:tc>
          <w:tcPr>
            <w:tcW w:w="231" w:type="pct"/>
            <w:tcBorders>
              <w:top w:val="nil"/>
              <w:left w:val="nil"/>
              <w:bottom w:val="nil"/>
              <w:right w:val="nil"/>
            </w:tcBorders>
            <w:tcMar>
              <w:top w:w="30" w:type="dxa"/>
              <w:left w:w="30" w:type="dxa"/>
              <w:bottom w:w="30" w:type="dxa"/>
              <w:right w:w="120" w:type="dxa"/>
            </w:tcMar>
            <w:vAlign w:val="center"/>
          </w:tcPr>
          <w:p w14:paraId="75D22ADB" w14:textId="77777777" w:rsidR="0093626A" w:rsidRDefault="0093626A" w:rsidP="005915A7">
            <w:pPr>
              <w:spacing w:after="0" w:line="360" w:lineRule="auto"/>
              <w:rPr>
                <w:rFonts w:ascii="Arial" w:eastAsia="Times New Roman" w:hAnsi="Arial" w:cs="Arial"/>
                <w:color w:val="333333"/>
                <w:kern w:val="0"/>
                <w:sz w:val="24"/>
                <w:szCs w:val="24"/>
                <w:lang w:eastAsia="es-MX"/>
                <w14:ligatures w14:val="none"/>
              </w:rPr>
            </w:pPr>
          </w:p>
        </w:tc>
        <w:tc>
          <w:tcPr>
            <w:tcW w:w="875" w:type="pct"/>
            <w:tcBorders>
              <w:top w:val="nil"/>
              <w:left w:val="nil"/>
              <w:bottom w:val="nil"/>
              <w:right w:val="nil"/>
            </w:tcBorders>
            <w:tcMar>
              <w:top w:w="30" w:type="dxa"/>
              <w:left w:w="120" w:type="dxa"/>
              <w:bottom w:w="30" w:type="dxa"/>
              <w:right w:w="0" w:type="dxa"/>
            </w:tcMar>
            <w:vAlign w:val="center"/>
          </w:tcPr>
          <w:p w14:paraId="1AC313C4" w14:textId="77777777" w:rsidR="0093626A" w:rsidRDefault="00000000" w:rsidP="005915A7">
            <w:pPr>
              <w:spacing w:after="0" w:line="360" w:lineRule="auto"/>
              <w:jc w:val="right"/>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4.43</w:t>
            </w:r>
          </w:p>
        </w:tc>
        <w:tc>
          <w:tcPr>
            <w:tcW w:w="269" w:type="pct"/>
            <w:tcBorders>
              <w:top w:val="nil"/>
              <w:left w:val="nil"/>
              <w:bottom w:val="nil"/>
              <w:right w:val="nil"/>
            </w:tcBorders>
            <w:tcMar>
              <w:top w:w="30" w:type="dxa"/>
              <w:left w:w="30" w:type="dxa"/>
              <w:bottom w:w="30" w:type="dxa"/>
              <w:right w:w="120" w:type="dxa"/>
            </w:tcMar>
            <w:vAlign w:val="center"/>
          </w:tcPr>
          <w:p w14:paraId="48DA0884" w14:textId="77777777" w:rsidR="0093626A" w:rsidRDefault="0093626A" w:rsidP="005915A7">
            <w:pPr>
              <w:spacing w:after="0" w:line="360" w:lineRule="auto"/>
              <w:jc w:val="right"/>
              <w:rPr>
                <w:rFonts w:ascii="Arial" w:eastAsia="Times New Roman" w:hAnsi="Arial" w:cs="Arial"/>
                <w:color w:val="333333"/>
                <w:kern w:val="0"/>
                <w:sz w:val="24"/>
                <w:szCs w:val="24"/>
                <w:lang w:eastAsia="es-MX"/>
                <w14:ligatures w14:val="none"/>
              </w:rPr>
            </w:pPr>
          </w:p>
        </w:tc>
        <w:tc>
          <w:tcPr>
            <w:tcW w:w="900" w:type="pct"/>
            <w:tcBorders>
              <w:top w:val="nil"/>
              <w:left w:val="nil"/>
              <w:bottom w:val="nil"/>
              <w:right w:val="nil"/>
            </w:tcBorders>
            <w:tcMar>
              <w:top w:w="30" w:type="dxa"/>
              <w:left w:w="120" w:type="dxa"/>
              <w:bottom w:w="30" w:type="dxa"/>
              <w:right w:w="0" w:type="dxa"/>
            </w:tcMar>
            <w:vAlign w:val="center"/>
          </w:tcPr>
          <w:p w14:paraId="6F858046" w14:textId="77777777" w:rsidR="0093626A" w:rsidRDefault="00000000" w:rsidP="005915A7">
            <w:pPr>
              <w:spacing w:after="0" w:line="360" w:lineRule="auto"/>
              <w:jc w:val="right"/>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5</w:t>
            </w:r>
          </w:p>
        </w:tc>
        <w:tc>
          <w:tcPr>
            <w:tcW w:w="591" w:type="pct"/>
            <w:tcBorders>
              <w:top w:val="nil"/>
              <w:left w:val="nil"/>
              <w:bottom w:val="nil"/>
              <w:right w:val="nil"/>
            </w:tcBorders>
            <w:tcMar>
              <w:top w:w="30" w:type="dxa"/>
              <w:left w:w="30" w:type="dxa"/>
              <w:bottom w:w="30" w:type="dxa"/>
              <w:right w:w="120" w:type="dxa"/>
            </w:tcMar>
            <w:vAlign w:val="center"/>
          </w:tcPr>
          <w:p w14:paraId="6F96F2D7" w14:textId="77777777" w:rsidR="0093626A" w:rsidRDefault="0093626A" w:rsidP="005915A7">
            <w:pPr>
              <w:spacing w:after="0" w:line="360" w:lineRule="auto"/>
              <w:jc w:val="right"/>
              <w:rPr>
                <w:rFonts w:ascii="Arial" w:eastAsia="Times New Roman" w:hAnsi="Arial" w:cs="Arial"/>
                <w:color w:val="333333"/>
                <w:kern w:val="0"/>
                <w:sz w:val="24"/>
                <w:szCs w:val="24"/>
                <w:lang w:eastAsia="es-MX"/>
                <w14:ligatures w14:val="none"/>
              </w:rPr>
            </w:pPr>
          </w:p>
        </w:tc>
        <w:tc>
          <w:tcPr>
            <w:tcW w:w="895" w:type="pct"/>
            <w:tcBorders>
              <w:top w:val="nil"/>
              <w:left w:val="nil"/>
              <w:bottom w:val="nil"/>
              <w:right w:val="nil"/>
            </w:tcBorders>
            <w:tcMar>
              <w:top w:w="30" w:type="dxa"/>
              <w:left w:w="120" w:type="dxa"/>
              <w:bottom w:w="30" w:type="dxa"/>
              <w:right w:w="0" w:type="dxa"/>
            </w:tcMar>
            <w:vAlign w:val="center"/>
          </w:tcPr>
          <w:p w14:paraId="0CEF143A" w14:textId="77777777" w:rsidR="0093626A" w:rsidRDefault="00000000" w:rsidP="005915A7">
            <w:pPr>
              <w:spacing w:after="0" w:line="360" w:lineRule="auto"/>
              <w:jc w:val="right"/>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0.919</w:t>
            </w:r>
          </w:p>
        </w:tc>
        <w:tc>
          <w:tcPr>
            <w:tcW w:w="342" w:type="pct"/>
            <w:tcBorders>
              <w:top w:val="nil"/>
              <w:left w:val="nil"/>
              <w:bottom w:val="nil"/>
              <w:right w:val="nil"/>
            </w:tcBorders>
            <w:tcMar>
              <w:top w:w="30" w:type="dxa"/>
              <w:left w:w="30" w:type="dxa"/>
              <w:bottom w:w="30" w:type="dxa"/>
              <w:right w:w="120" w:type="dxa"/>
            </w:tcMar>
            <w:vAlign w:val="center"/>
          </w:tcPr>
          <w:p w14:paraId="4AE79AC2" w14:textId="77777777" w:rsidR="0093626A" w:rsidRDefault="0093626A" w:rsidP="005915A7">
            <w:pPr>
              <w:spacing w:after="0" w:line="360" w:lineRule="auto"/>
              <w:jc w:val="right"/>
              <w:rPr>
                <w:rFonts w:ascii="Arial" w:eastAsia="Times New Roman" w:hAnsi="Arial" w:cs="Arial"/>
                <w:color w:val="333333"/>
                <w:kern w:val="0"/>
                <w:sz w:val="24"/>
                <w:szCs w:val="24"/>
                <w:lang w:eastAsia="es-MX"/>
                <w14:ligatures w14:val="none"/>
              </w:rPr>
            </w:pPr>
          </w:p>
        </w:tc>
      </w:tr>
      <w:tr w:rsidR="0093626A" w14:paraId="74DC5720" w14:textId="77777777">
        <w:trPr>
          <w:cantSplit/>
          <w:tblCellSpacing w:w="15" w:type="dxa"/>
        </w:trPr>
        <w:tc>
          <w:tcPr>
            <w:tcW w:w="746" w:type="pct"/>
            <w:tcBorders>
              <w:top w:val="nil"/>
              <w:left w:val="nil"/>
              <w:bottom w:val="nil"/>
              <w:right w:val="nil"/>
            </w:tcBorders>
            <w:tcMar>
              <w:top w:w="30" w:type="dxa"/>
              <w:left w:w="120" w:type="dxa"/>
              <w:bottom w:w="30" w:type="dxa"/>
              <w:right w:w="0" w:type="dxa"/>
            </w:tcMar>
            <w:vAlign w:val="center"/>
          </w:tcPr>
          <w:p w14:paraId="66FF22E9" w14:textId="77777777" w:rsidR="0093626A" w:rsidRDefault="00000000" w:rsidP="005915A7">
            <w:pPr>
              <w:spacing w:after="0" w:line="360" w:lineRule="auto"/>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CC1</w:t>
            </w:r>
          </w:p>
        </w:tc>
        <w:tc>
          <w:tcPr>
            <w:tcW w:w="231" w:type="pct"/>
            <w:tcBorders>
              <w:top w:val="nil"/>
              <w:left w:val="nil"/>
              <w:bottom w:val="nil"/>
              <w:right w:val="nil"/>
            </w:tcBorders>
            <w:tcMar>
              <w:top w:w="30" w:type="dxa"/>
              <w:left w:w="30" w:type="dxa"/>
              <w:bottom w:w="30" w:type="dxa"/>
              <w:right w:w="120" w:type="dxa"/>
            </w:tcMar>
            <w:vAlign w:val="center"/>
          </w:tcPr>
          <w:p w14:paraId="64EB4106" w14:textId="77777777" w:rsidR="0093626A" w:rsidRDefault="0093626A" w:rsidP="005915A7">
            <w:pPr>
              <w:spacing w:after="0" w:line="360" w:lineRule="auto"/>
              <w:rPr>
                <w:rFonts w:ascii="Arial" w:eastAsia="Times New Roman" w:hAnsi="Arial" w:cs="Arial"/>
                <w:color w:val="333333"/>
                <w:kern w:val="0"/>
                <w:sz w:val="24"/>
                <w:szCs w:val="24"/>
                <w:lang w:eastAsia="es-MX"/>
                <w14:ligatures w14:val="none"/>
              </w:rPr>
            </w:pPr>
          </w:p>
        </w:tc>
        <w:tc>
          <w:tcPr>
            <w:tcW w:w="875" w:type="pct"/>
            <w:tcBorders>
              <w:top w:val="nil"/>
              <w:left w:val="nil"/>
              <w:bottom w:val="nil"/>
              <w:right w:val="nil"/>
            </w:tcBorders>
            <w:tcMar>
              <w:top w:w="30" w:type="dxa"/>
              <w:left w:w="120" w:type="dxa"/>
              <w:bottom w:w="30" w:type="dxa"/>
              <w:right w:w="0" w:type="dxa"/>
            </w:tcMar>
            <w:vAlign w:val="center"/>
          </w:tcPr>
          <w:p w14:paraId="302A711A" w14:textId="77777777" w:rsidR="0093626A" w:rsidRDefault="00000000" w:rsidP="005915A7">
            <w:pPr>
              <w:spacing w:after="0" w:line="360" w:lineRule="auto"/>
              <w:jc w:val="right"/>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3.61</w:t>
            </w:r>
          </w:p>
        </w:tc>
        <w:tc>
          <w:tcPr>
            <w:tcW w:w="269" w:type="pct"/>
            <w:tcBorders>
              <w:top w:val="nil"/>
              <w:left w:val="nil"/>
              <w:bottom w:val="nil"/>
              <w:right w:val="nil"/>
            </w:tcBorders>
            <w:tcMar>
              <w:top w:w="30" w:type="dxa"/>
              <w:left w:w="30" w:type="dxa"/>
              <w:bottom w:w="30" w:type="dxa"/>
              <w:right w:w="120" w:type="dxa"/>
            </w:tcMar>
            <w:vAlign w:val="center"/>
          </w:tcPr>
          <w:p w14:paraId="6741B7D4" w14:textId="77777777" w:rsidR="0093626A" w:rsidRDefault="0093626A" w:rsidP="005915A7">
            <w:pPr>
              <w:spacing w:after="0" w:line="360" w:lineRule="auto"/>
              <w:jc w:val="right"/>
              <w:rPr>
                <w:rFonts w:ascii="Arial" w:eastAsia="Times New Roman" w:hAnsi="Arial" w:cs="Arial"/>
                <w:color w:val="333333"/>
                <w:kern w:val="0"/>
                <w:sz w:val="24"/>
                <w:szCs w:val="24"/>
                <w:lang w:eastAsia="es-MX"/>
                <w14:ligatures w14:val="none"/>
              </w:rPr>
            </w:pPr>
          </w:p>
        </w:tc>
        <w:tc>
          <w:tcPr>
            <w:tcW w:w="900" w:type="pct"/>
            <w:tcBorders>
              <w:top w:val="nil"/>
              <w:left w:val="nil"/>
              <w:bottom w:val="nil"/>
              <w:right w:val="nil"/>
            </w:tcBorders>
            <w:tcMar>
              <w:top w:w="30" w:type="dxa"/>
              <w:left w:w="120" w:type="dxa"/>
              <w:bottom w:w="30" w:type="dxa"/>
              <w:right w:w="0" w:type="dxa"/>
            </w:tcMar>
            <w:vAlign w:val="center"/>
          </w:tcPr>
          <w:p w14:paraId="5F36217F" w14:textId="77777777" w:rsidR="0093626A" w:rsidRDefault="00000000" w:rsidP="005915A7">
            <w:pPr>
              <w:spacing w:after="0" w:line="360" w:lineRule="auto"/>
              <w:jc w:val="right"/>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4</w:t>
            </w:r>
          </w:p>
        </w:tc>
        <w:tc>
          <w:tcPr>
            <w:tcW w:w="591" w:type="pct"/>
            <w:tcBorders>
              <w:top w:val="nil"/>
              <w:left w:val="nil"/>
              <w:bottom w:val="nil"/>
              <w:right w:val="nil"/>
            </w:tcBorders>
            <w:tcMar>
              <w:top w:w="30" w:type="dxa"/>
              <w:left w:w="30" w:type="dxa"/>
              <w:bottom w:w="30" w:type="dxa"/>
              <w:right w:w="120" w:type="dxa"/>
            </w:tcMar>
            <w:vAlign w:val="center"/>
          </w:tcPr>
          <w:p w14:paraId="3AAFEB0A" w14:textId="77777777" w:rsidR="0093626A" w:rsidRDefault="0093626A" w:rsidP="005915A7">
            <w:pPr>
              <w:spacing w:after="0" w:line="360" w:lineRule="auto"/>
              <w:jc w:val="right"/>
              <w:rPr>
                <w:rFonts w:ascii="Arial" w:eastAsia="Times New Roman" w:hAnsi="Arial" w:cs="Arial"/>
                <w:color w:val="333333"/>
                <w:kern w:val="0"/>
                <w:sz w:val="24"/>
                <w:szCs w:val="24"/>
                <w:lang w:eastAsia="es-MX"/>
                <w14:ligatures w14:val="none"/>
              </w:rPr>
            </w:pPr>
          </w:p>
        </w:tc>
        <w:tc>
          <w:tcPr>
            <w:tcW w:w="895" w:type="pct"/>
            <w:tcBorders>
              <w:top w:val="nil"/>
              <w:left w:val="nil"/>
              <w:bottom w:val="nil"/>
              <w:right w:val="nil"/>
            </w:tcBorders>
            <w:tcMar>
              <w:top w:w="30" w:type="dxa"/>
              <w:left w:w="120" w:type="dxa"/>
              <w:bottom w:w="30" w:type="dxa"/>
              <w:right w:w="0" w:type="dxa"/>
            </w:tcMar>
            <w:vAlign w:val="center"/>
          </w:tcPr>
          <w:p w14:paraId="09D8B9AD" w14:textId="77777777" w:rsidR="0093626A" w:rsidRDefault="00000000" w:rsidP="005915A7">
            <w:pPr>
              <w:spacing w:after="0" w:line="360" w:lineRule="auto"/>
              <w:jc w:val="right"/>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1.099</w:t>
            </w:r>
          </w:p>
        </w:tc>
        <w:tc>
          <w:tcPr>
            <w:tcW w:w="342" w:type="pct"/>
            <w:tcBorders>
              <w:top w:val="nil"/>
              <w:left w:val="nil"/>
              <w:bottom w:val="nil"/>
              <w:right w:val="nil"/>
            </w:tcBorders>
            <w:tcMar>
              <w:top w:w="30" w:type="dxa"/>
              <w:left w:w="30" w:type="dxa"/>
              <w:bottom w:w="30" w:type="dxa"/>
              <w:right w:w="120" w:type="dxa"/>
            </w:tcMar>
            <w:vAlign w:val="center"/>
          </w:tcPr>
          <w:p w14:paraId="5A57C98F" w14:textId="77777777" w:rsidR="0093626A" w:rsidRDefault="0093626A" w:rsidP="005915A7">
            <w:pPr>
              <w:spacing w:after="0" w:line="360" w:lineRule="auto"/>
              <w:jc w:val="right"/>
              <w:rPr>
                <w:rFonts w:ascii="Arial" w:eastAsia="Times New Roman" w:hAnsi="Arial" w:cs="Arial"/>
                <w:color w:val="333333"/>
                <w:kern w:val="0"/>
                <w:sz w:val="24"/>
                <w:szCs w:val="24"/>
                <w:lang w:eastAsia="es-MX"/>
                <w14:ligatures w14:val="none"/>
              </w:rPr>
            </w:pPr>
          </w:p>
        </w:tc>
      </w:tr>
      <w:tr w:rsidR="0093626A" w14:paraId="3DF1FCEA" w14:textId="77777777">
        <w:trPr>
          <w:cantSplit/>
          <w:tblCellSpacing w:w="15" w:type="dxa"/>
        </w:trPr>
        <w:tc>
          <w:tcPr>
            <w:tcW w:w="746" w:type="pct"/>
            <w:tcBorders>
              <w:top w:val="nil"/>
              <w:left w:val="nil"/>
              <w:bottom w:val="nil"/>
              <w:right w:val="nil"/>
            </w:tcBorders>
            <w:tcMar>
              <w:top w:w="30" w:type="dxa"/>
              <w:left w:w="120" w:type="dxa"/>
              <w:bottom w:w="30" w:type="dxa"/>
              <w:right w:w="0" w:type="dxa"/>
            </w:tcMar>
            <w:vAlign w:val="center"/>
          </w:tcPr>
          <w:p w14:paraId="44076135" w14:textId="77777777" w:rsidR="0093626A" w:rsidRDefault="00000000" w:rsidP="005915A7">
            <w:pPr>
              <w:spacing w:after="0" w:line="360" w:lineRule="auto"/>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CC2</w:t>
            </w:r>
          </w:p>
        </w:tc>
        <w:tc>
          <w:tcPr>
            <w:tcW w:w="231" w:type="pct"/>
            <w:tcBorders>
              <w:top w:val="nil"/>
              <w:left w:val="nil"/>
              <w:bottom w:val="nil"/>
              <w:right w:val="nil"/>
            </w:tcBorders>
            <w:tcMar>
              <w:top w:w="30" w:type="dxa"/>
              <w:left w:w="30" w:type="dxa"/>
              <w:bottom w:w="30" w:type="dxa"/>
              <w:right w:w="120" w:type="dxa"/>
            </w:tcMar>
            <w:vAlign w:val="center"/>
          </w:tcPr>
          <w:p w14:paraId="6A290E62" w14:textId="77777777" w:rsidR="0093626A" w:rsidRDefault="0093626A" w:rsidP="005915A7">
            <w:pPr>
              <w:spacing w:after="0" w:line="360" w:lineRule="auto"/>
              <w:rPr>
                <w:rFonts w:ascii="Arial" w:eastAsia="Times New Roman" w:hAnsi="Arial" w:cs="Arial"/>
                <w:color w:val="333333"/>
                <w:kern w:val="0"/>
                <w:sz w:val="24"/>
                <w:szCs w:val="24"/>
                <w:lang w:eastAsia="es-MX"/>
                <w14:ligatures w14:val="none"/>
              </w:rPr>
            </w:pPr>
          </w:p>
        </w:tc>
        <w:tc>
          <w:tcPr>
            <w:tcW w:w="875" w:type="pct"/>
            <w:tcBorders>
              <w:top w:val="nil"/>
              <w:left w:val="nil"/>
              <w:bottom w:val="nil"/>
              <w:right w:val="nil"/>
            </w:tcBorders>
            <w:tcMar>
              <w:top w:w="30" w:type="dxa"/>
              <w:left w:w="120" w:type="dxa"/>
              <w:bottom w:w="30" w:type="dxa"/>
              <w:right w:w="0" w:type="dxa"/>
            </w:tcMar>
            <w:vAlign w:val="center"/>
          </w:tcPr>
          <w:p w14:paraId="4419C787" w14:textId="77777777" w:rsidR="0093626A" w:rsidRDefault="00000000" w:rsidP="005915A7">
            <w:pPr>
              <w:spacing w:after="0" w:line="360" w:lineRule="auto"/>
              <w:jc w:val="right"/>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3.17</w:t>
            </w:r>
          </w:p>
        </w:tc>
        <w:tc>
          <w:tcPr>
            <w:tcW w:w="269" w:type="pct"/>
            <w:tcBorders>
              <w:top w:val="nil"/>
              <w:left w:val="nil"/>
              <w:bottom w:val="nil"/>
              <w:right w:val="nil"/>
            </w:tcBorders>
            <w:tcMar>
              <w:top w:w="30" w:type="dxa"/>
              <w:left w:w="30" w:type="dxa"/>
              <w:bottom w:w="30" w:type="dxa"/>
              <w:right w:w="120" w:type="dxa"/>
            </w:tcMar>
            <w:vAlign w:val="center"/>
          </w:tcPr>
          <w:p w14:paraId="2C085E89" w14:textId="77777777" w:rsidR="0093626A" w:rsidRDefault="0093626A" w:rsidP="005915A7">
            <w:pPr>
              <w:spacing w:after="0" w:line="360" w:lineRule="auto"/>
              <w:jc w:val="right"/>
              <w:rPr>
                <w:rFonts w:ascii="Arial" w:eastAsia="Times New Roman" w:hAnsi="Arial" w:cs="Arial"/>
                <w:color w:val="333333"/>
                <w:kern w:val="0"/>
                <w:sz w:val="24"/>
                <w:szCs w:val="24"/>
                <w:lang w:eastAsia="es-MX"/>
                <w14:ligatures w14:val="none"/>
              </w:rPr>
            </w:pPr>
          </w:p>
        </w:tc>
        <w:tc>
          <w:tcPr>
            <w:tcW w:w="900" w:type="pct"/>
            <w:tcBorders>
              <w:top w:val="nil"/>
              <w:left w:val="nil"/>
              <w:bottom w:val="nil"/>
              <w:right w:val="nil"/>
            </w:tcBorders>
            <w:tcMar>
              <w:top w:w="30" w:type="dxa"/>
              <w:left w:w="120" w:type="dxa"/>
              <w:bottom w:w="30" w:type="dxa"/>
              <w:right w:w="0" w:type="dxa"/>
            </w:tcMar>
            <w:vAlign w:val="center"/>
          </w:tcPr>
          <w:p w14:paraId="581F751A" w14:textId="77777777" w:rsidR="0093626A" w:rsidRDefault="00000000" w:rsidP="005915A7">
            <w:pPr>
              <w:spacing w:after="0" w:line="360" w:lineRule="auto"/>
              <w:jc w:val="right"/>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3</w:t>
            </w:r>
          </w:p>
        </w:tc>
        <w:tc>
          <w:tcPr>
            <w:tcW w:w="591" w:type="pct"/>
            <w:tcBorders>
              <w:top w:val="nil"/>
              <w:left w:val="nil"/>
              <w:bottom w:val="nil"/>
              <w:right w:val="nil"/>
            </w:tcBorders>
            <w:tcMar>
              <w:top w:w="30" w:type="dxa"/>
              <w:left w:w="30" w:type="dxa"/>
              <w:bottom w:w="30" w:type="dxa"/>
              <w:right w:w="120" w:type="dxa"/>
            </w:tcMar>
            <w:vAlign w:val="center"/>
          </w:tcPr>
          <w:p w14:paraId="49DC3D49" w14:textId="77777777" w:rsidR="0093626A" w:rsidRDefault="0093626A" w:rsidP="005915A7">
            <w:pPr>
              <w:spacing w:after="0" w:line="360" w:lineRule="auto"/>
              <w:jc w:val="right"/>
              <w:rPr>
                <w:rFonts w:ascii="Arial" w:eastAsia="Times New Roman" w:hAnsi="Arial" w:cs="Arial"/>
                <w:color w:val="333333"/>
                <w:kern w:val="0"/>
                <w:sz w:val="24"/>
                <w:szCs w:val="24"/>
                <w:lang w:eastAsia="es-MX"/>
                <w14:ligatures w14:val="none"/>
              </w:rPr>
            </w:pPr>
          </w:p>
        </w:tc>
        <w:tc>
          <w:tcPr>
            <w:tcW w:w="895" w:type="pct"/>
            <w:tcBorders>
              <w:top w:val="nil"/>
              <w:left w:val="nil"/>
              <w:bottom w:val="nil"/>
              <w:right w:val="nil"/>
            </w:tcBorders>
            <w:tcMar>
              <w:top w:w="30" w:type="dxa"/>
              <w:left w:w="120" w:type="dxa"/>
              <w:bottom w:w="30" w:type="dxa"/>
              <w:right w:w="0" w:type="dxa"/>
            </w:tcMar>
            <w:vAlign w:val="center"/>
          </w:tcPr>
          <w:p w14:paraId="2128075E" w14:textId="77777777" w:rsidR="0093626A" w:rsidRDefault="00000000" w:rsidP="005915A7">
            <w:pPr>
              <w:spacing w:after="0" w:line="360" w:lineRule="auto"/>
              <w:jc w:val="right"/>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1.190</w:t>
            </w:r>
          </w:p>
        </w:tc>
        <w:tc>
          <w:tcPr>
            <w:tcW w:w="342" w:type="pct"/>
            <w:tcBorders>
              <w:top w:val="nil"/>
              <w:left w:val="nil"/>
              <w:bottom w:val="nil"/>
              <w:right w:val="nil"/>
            </w:tcBorders>
            <w:tcMar>
              <w:top w:w="30" w:type="dxa"/>
              <w:left w:w="30" w:type="dxa"/>
              <w:bottom w:w="30" w:type="dxa"/>
              <w:right w:w="120" w:type="dxa"/>
            </w:tcMar>
            <w:vAlign w:val="center"/>
          </w:tcPr>
          <w:p w14:paraId="17AF5F91" w14:textId="77777777" w:rsidR="0093626A" w:rsidRDefault="0093626A" w:rsidP="005915A7">
            <w:pPr>
              <w:spacing w:after="0" w:line="360" w:lineRule="auto"/>
              <w:jc w:val="right"/>
              <w:rPr>
                <w:rFonts w:ascii="Arial" w:eastAsia="Times New Roman" w:hAnsi="Arial" w:cs="Arial"/>
                <w:color w:val="333333"/>
                <w:kern w:val="0"/>
                <w:sz w:val="24"/>
                <w:szCs w:val="24"/>
                <w:lang w:eastAsia="es-MX"/>
                <w14:ligatures w14:val="none"/>
              </w:rPr>
            </w:pPr>
          </w:p>
        </w:tc>
      </w:tr>
      <w:tr w:rsidR="0093626A" w14:paraId="7E75F3A2" w14:textId="77777777">
        <w:trPr>
          <w:cantSplit/>
          <w:tblCellSpacing w:w="15" w:type="dxa"/>
        </w:trPr>
        <w:tc>
          <w:tcPr>
            <w:tcW w:w="746" w:type="pct"/>
            <w:tcBorders>
              <w:top w:val="nil"/>
              <w:left w:val="nil"/>
              <w:bottom w:val="nil"/>
              <w:right w:val="nil"/>
            </w:tcBorders>
            <w:tcMar>
              <w:top w:w="30" w:type="dxa"/>
              <w:left w:w="120" w:type="dxa"/>
              <w:bottom w:w="30" w:type="dxa"/>
              <w:right w:w="0" w:type="dxa"/>
            </w:tcMar>
            <w:vAlign w:val="center"/>
          </w:tcPr>
          <w:p w14:paraId="0780828A" w14:textId="77777777" w:rsidR="0093626A" w:rsidRDefault="00000000" w:rsidP="005915A7">
            <w:pPr>
              <w:spacing w:after="0" w:line="360" w:lineRule="auto"/>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CC3</w:t>
            </w:r>
          </w:p>
        </w:tc>
        <w:tc>
          <w:tcPr>
            <w:tcW w:w="231" w:type="pct"/>
            <w:tcBorders>
              <w:top w:val="nil"/>
              <w:left w:val="nil"/>
              <w:bottom w:val="nil"/>
              <w:right w:val="nil"/>
            </w:tcBorders>
            <w:tcMar>
              <w:top w:w="30" w:type="dxa"/>
              <w:left w:w="30" w:type="dxa"/>
              <w:bottom w:w="30" w:type="dxa"/>
              <w:right w:w="120" w:type="dxa"/>
            </w:tcMar>
            <w:vAlign w:val="center"/>
          </w:tcPr>
          <w:p w14:paraId="681CA054" w14:textId="77777777" w:rsidR="0093626A" w:rsidRDefault="0093626A" w:rsidP="005915A7">
            <w:pPr>
              <w:spacing w:after="0" w:line="360" w:lineRule="auto"/>
              <w:rPr>
                <w:rFonts w:ascii="Arial" w:eastAsia="Times New Roman" w:hAnsi="Arial" w:cs="Arial"/>
                <w:color w:val="333333"/>
                <w:kern w:val="0"/>
                <w:sz w:val="24"/>
                <w:szCs w:val="24"/>
                <w:lang w:eastAsia="es-MX"/>
                <w14:ligatures w14:val="none"/>
              </w:rPr>
            </w:pPr>
          </w:p>
        </w:tc>
        <w:tc>
          <w:tcPr>
            <w:tcW w:w="875" w:type="pct"/>
            <w:tcBorders>
              <w:top w:val="nil"/>
              <w:left w:val="nil"/>
              <w:bottom w:val="nil"/>
              <w:right w:val="nil"/>
            </w:tcBorders>
            <w:tcMar>
              <w:top w:w="30" w:type="dxa"/>
              <w:left w:w="120" w:type="dxa"/>
              <w:bottom w:w="30" w:type="dxa"/>
              <w:right w:w="0" w:type="dxa"/>
            </w:tcMar>
            <w:vAlign w:val="center"/>
          </w:tcPr>
          <w:p w14:paraId="2D3F9933" w14:textId="77777777" w:rsidR="0093626A" w:rsidRDefault="00000000" w:rsidP="005915A7">
            <w:pPr>
              <w:spacing w:after="0" w:line="360" w:lineRule="auto"/>
              <w:jc w:val="right"/>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3.74</w:t>
            </w:r>
          </w:p>
        </w:tc>
        <w:tc>
          <w:tcPr>
            <w:tcW w:w="269" w:type="pct"/>
            <w:tcBorders>
              <w:top w:val="nil"/>
              <w:left w:val="nil"/>
              <w:bottom w:val="nil"/>
              <w:right w:val="nil"/>
            </w:tcBorders>
            <w:tcMar>
              <w:top w:w="30" w:type="dxa"/>
              <w:left w:w="30" w:type="dxa"/>
              <w:bottom w:w="30" w:type="dxa"/>
              <w:right w:w="120" w:type="dxa"/>
            </w:tcMar>
            <w:vAlign w:val="center"/>
          </w:tcPr>
          <w:p w14:paraId="7BE4F577" w14:textId="77777777" w:rsidR="0093626A" w:rsidRDefault="0093626A" w:rsidP="005915A7">
            <w:pPr>
              <w:spacing w:after="0" w:line="360" w:lineRule="auto"/>
              <w:jc w:val="right"/>
              <w:rPr>
                <w:rFonts w:ascii="Arial" w:eastAsia="Times New Roman" w:hAnsi="Arial" w:cs="Arial"/>
                <w:color w:val="333333"/>
                <w:kern w:val="0"/>
                <w:sz w:val="24"/>
                <w:szCs w:val="24"/>
                <w:lang w:eastAsia="es-MX"/>
                <w14:ligatures w14:val="none"/>
              </w:rPr>
            </w:pPr>
          </w:p>
        </w:tc>
        <w:tc>
          <w:tcPr>
            <w:tcW w:w="900" w:type="pct"/>
            <w:tcBorders>
              <w:top w:val="nil"/>
              <w:left w:val="nil"/>
              <w:bottom w:val="nil"/>
              <w:right w:val="nil"/>
            </w:tcBorders>
            <w:tcMar>
              <w:top w:w="30" w:type="dxa"/>
              <w:left w:w="120" w:type="dxa"/>
              <w:bottom w:w="30" w:type="dxa"/>
              <w:right w:w="0" w:type="dxa"/>
            </w:tcMar>
            <w:vAlign w:val="center"/>
          </w:tcPr>
          <w:p w14:paraId="19A9E26D" w14:textId="77777777" w:rsidR="0093626A" w:rsidRDefault="00000000" w:rsidP="005915A7">
            <w:pPr>
              <w:spacing w:after="0" w:line="360" w:lineRule="auto"/>
              <w:jc w:val="right"/>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4</w:t>
            </w:r>
          </w:p>
        </w:tc>
        <w:tc>
          <w:tcPr>
            <w:tcW w:w="591" w:type="pct"/>
            <w:tcBorders>
              <w:top w:val="nil"/>
              <w:left w:val="nil"/>
              <w:bottom w:val="nil"/>
              <w:right w:val="nil"/>
            </w:tcBorders>
            <w:tcMar>
              <w:top w:w="30" w:type="dxa"/>
              <w:left w:w="30" w:type="dxa"/>
              <w:bottom w:w="30" w:type="dxa"/>
              <w:right w:w="120" w:type="dxa"/>
            </w:tcMar>
            <w:vAlign w:val="center"/>
          </w:tcPr>
          <w:p w14:paraId="25601D61" w14:textId="77777777" w:rsidR="0093626A" w:rsidRDefault="0093626A" w:rsidP="005915A7">
            <w:pPr>
              <w:spacing w:after="0" w:line="360" w:lineRule="auto"/>
              <w:jc w:val="right"/>
              <w:rPr>
                <w:rFonts w:ascii="Arial" w:eastAsia="Times New Roman" w:hAnsi="Arial" w:cs="Arial"/>
                <w:color w:val="333333"/>
                <w:kern w:val="0"/>
                <w:sz w:val="24"/>
                <w:szCs w:val="24"/>
                <w:lang w:eastAsia="es-MX"/>
                <w14:ligatures w14:val="none"/>
              </w:rPr>
            </w:pPr>
          </w:p>
        </w:tc>
        <w:tc>
          <w:tcPr>
            <w:tcW w:w="895" w:type="pct"/>
            <w:tcBorders>
              <w:top w:val="nil"/>
              <w:left w:val="nil"/>
              <w:bottom w:val="nil"/>
              <w:right w:val="nil"/>
            </w:tcBorders>
            <w:tcMar>
              <w:top w:w="30" w:type="dxa"/>
              <w:left w:w="120" w:type="dxa"/>
              <w:bottom w:w="30" w:type="dxa"/>
              <w:right w:w="0" w:type="dxa"/>
            </w:tcMar>
            <w:vAlign w:val="center"/>
          </w:tcPr>
          <w:p w14:paraId="7353EB66" w14:textId="77777777" w:rsidR="0093626A" w:rsidRDefault="00000000" w:rsidP="005915A7">
            <w:pPr>
              <w:spacing w:after="0" w:line="360" w:lineRule="auto"/>
              <w:jc w:val="right"/>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1.086</w:t>
            </w:r>
          </w:p>
        </w:tc>
        <w:tc>
          <w:tcPr>
            <w:tcW w:w="342" w:type="pct"/>
            <w:tcBorders>
              <w:top w:val="nil"/>
              <w:left w:val="nil"/>
              <w:bottom w:val="nil"/>
              <w:right w:val="nil"/>
            </w:tcBorders>
            <w:tcMar>
              <w:top w:w="30" w:type="dxa"/>
              <w:left w:w="30" w:type="dxa"/>
              <w:bottom w:w="30" w:type="dxa"/>
              <w:right w:w="120" w:type="dxa"/>
            </w:tcMar>
            <w:vAlign w:val="center"/>
          </w:tcPr>
          <w:p w14:paraId="757AAE19" w14:textId="77777777" w:rsidR="0093626A" w:rsidRDefault="0093626A" w:rsidP="005915A7">
            <w:pPr>
              <w:spacing w:after="0" w:line="360" w:lineRule="auto"/>
              <w:jc w:val="right"/>
              <w:rPr>
                <w:rFonts w:ascii="Arial" w:eastAsia="Times New Roman" w:hAnsi="Arial" w:cs="Arial"/>
                <w:color w:val="333333"/>
                <w:kern w:val="0"/>
                <w:sz w:val="24"/>
                <w:szCs w:val="24"/>
                <w:lang w:eastAsia="es-MX"/>
                <w14:ligatures w14:val="none"/>
              </w:rPr>
            </w:pPr>
          </w:p>
        </w:tc>
      </w:tr>
      <w:tr w:rsidR="0093626A" w14:paraId="07C67196" w14:textId="77777777">
        <w:trPr>
          <w:cantSplit/>
          <w:tblCellSpacing w:w="15" w:type="dxa"/>
        </w:trPr>
        <w:tc>
          <w:tcPr>
            <w:tcW w:w="746" w:type="pct"/>
            <w:tcBorders>
              <w:top w:val="nil"/>
              <w:left w:val="nil"/>
              <w:bottom w:val="nil"/>
              <w:right w:val="nil"/>
            </w:tcBorders>
            <w:tcMar>
              <w:top w:w="30" w:type="dxa"/>
              <w:left w:w="120" w:type="dxa"/>
              <w:bottom w:w="30" w:type="dxa"/>
              <w:right w:w="0" w:type="dxa"/>
            </w:tcMar>
            <w:vAlign w:val="center"/>
          </w:tcPr>
          <w:p w14:paraId="0E10861D" w14:textId="77777777" w:rsidR="0093626A" w:rsidRDefault="00000000" w:rsidP="005915A7">
            <w:pPr>
              <w:spacing w:after="0" w:line="360" w:lineRule="auto"/>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CC4</w:t>
            </w:r>
          </w:p>
        </w:tc>
        <w:tc>
          <w:tcPr>
            <w:tcW w:w="231" w:type="pct"/>
            <w:tcBorders>
              <w:top w:val="nil"/>
              <w:left w:val="nil"/>
              <w:bottom w:val="nil"/>
              <w:right w:val="nil"/>
            </w:tcBorders>
            <w:tcMar>
              <w:top w:w="30" w:type="dxa"/>
              <w:left w:w="30" w:type="dxa"/>
              <w:bottom w:w="30" w:type="dxa"/>
              <w:right w:w="120" w:type="dxa"/>
            </w:tcMar>
            <w:vAlign w:val="center"/>
          </w:tcPr>
          <w:p w14:paraId="2AF5CE8B" w14:textId="77777777" w:rsidR="0093626A" w:rsidRDefault="0093626A" w:rsidP="005915A7">
            <w:pPr>
              <w:spacing w:after="0" w:line="360" w:lineRule="auto"/>
              <w:rPr>
                <w:rFonts w:ascii="Arial" w:eastAsia="Times New Roman" w:hAnsi="Arial" w:cs="Arial"/>
                <w:color w:val="333333"/>
                <w:kern w:val="0"/>
                <w:sz w:val="24"/>
                <w:szCs w:val="24"/>
                <w:lang w:eastAsia="es-MX"/>
                <w14:ligatures w14:val="none"/>
              </w:rPr>
            </w:pPr>
          </w:p>
        </w:tc>
        <w:tc>
          <w:tcPr>
            <w:tcW w:w="875" w:type="pct"/>
            <w:tcBorders>
              <w:top w:val="nil"/>
              <w:left w:val="nil"/>
              <w:bottom w:val="nil"/>
              <w:right w:val="nil"/>
            </w:tcBorders>
            <w:tcMar>
              <w:top w:w="30" w:type="dxa"/>
              <w:left w:w="120" w:type="dxa"/>
              <w:bottom w:w="30" w:type="dxa"/>
              <w:right w:w="0" w:type="dxa"/>
            </w:tcMar>
            <w:vAlign w:val="center"/>
          </w:tcPr>
          <w:p w14:paraId="33017354" w14:textId="77777777" w:rsidR="0093626A" w:rsidRDefault="00000000" w:rsidP="005915A7">
            <w:pPr>
              <w:spacing w:after="0" w:line="360" w:lineRule="auto"/>
              <w:jc w:val="right"/>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3.59</w:t>
            </w:r>
          </w:p>
        </w:tc>
        <w:tc>
          <w:tcPr>
            <w:tcW w:w="269" w:type="pct"/>
            <w:tcBorders>
              <w:top w:val="nil"/>
              <w:left w:val="nil"/>
              <w:bottom w:val="nil"/>
              <w:right w:val="nil"/>
            </w:tcBorders>
            <w:tcMar>
              <w:top w:w="30" w:type="dxa"/>
              <w:left w:w="30" w:type="dxa"/>
              <w:bottom w:w="30" w:type="dxa"/>
              <w:right w:w="120" w:type="dxa"/>
            </w:tcMar>
            <w:vAlign w:val="center"/>
          </w:tcPr>
          <w:p w14:paraId="59B22645" w14:textId="77777777" w:rsidR="0093626A" w:rsidRDefault="0093626A" w:rsidP="005915A7">
            <w:pPr>
              <w:spacing w:after="0" w:line="360" w:lineRule="auto"/>
              <w:jc w:val="right"/>
              <w:rPr>
                <w:rFonts w:ascii="Arial" w:eastAsia="Times New Roman" w:hAnsi="Arial" w:cs="Arial"/>
                <w:color w:val="333333"/>
                <w:kern w:val="0"/>
                <w:sz w:val="24"/>
                <w:szCs w:val="24"/>
                <w:lang w:eastAsia="es-MX"/>
                <w14:ligatures w14:val="none"/>
              </w:rPr>
            </w:pPr>
          </w:p>
        </w:tc>
        <w:tc>
          <w:tcPr>
            <w:tcW w:w="900" w:type="pct"/>
            <w:tcBorders>
              <w:top w:val="nil"/>
              <w:left w:val="nil"/>
              <w:bottom w:val="nil"/>
              <w:right w:val="nil"/>
            </w:tcBorders>
            <w:tcMar>
              <w:top w:w="30" w:type="dxa"/>
              <w:left w:w="120" w:type="dxa"/>
              <w:bottom w:w="30" w:type="dxa"/>
              <w:right w:w="0" w:type="dxa"/>
            </w:tcMar>
            <w:vAlign w:val="center"/>
          </w:tcPr>
          <w:p w14:paraId="22730D38" w14:textId="77777777" w:rsidR="0093626A" w:rsidRDefault="00000000" w:rsidP="005915A7">
            <w:pPr>
              <w:spacing w:after="0" w:line="360" w:lineRule="auto"/>
              <w:jc w:val="right"/>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4</w:t>
            </w:r>
          </w:p>
        </w:tc>
        <w:tc>
          <w:tcPr>
            <w:tcW w:w="591" w:type="pct"/>
            <w:tcBorders>
              <w:top w:val="nil"/>
              <w:left w:val="nil"/>
              <w:bottom w:val="nil"/>
              <w:right w:val="nil"/>
            </w:tcBorders>
            <w:tcMar>
              <w:top w:w="30" w:type="dxa"/>
              <w:left w:w="30" w:type="dxa"/>
              <w:bottom w:w="30" w:type="dxa"/>
              <w:right w:w="120" w:type="dxa"/>
            </w:tcMar>
            <w:vAlign w:val="center"/>
          </w:tcPr>
          <w:p w14:paraId="32CEE341" w14:textId="77777777" w:rsidR="0093626A" w:rsidRDefault="0093626A" w:rsidP="005915A7">
            <w:pPr>
              <w:spacing w:after="0" w:line="360" w:lineRule="auto"/>
              <w:jc w:val="right"/>
              <w:rPr>
                <w:rFonts w:ascii="Arial" w:eastAsia="Times New Roman" w:hAnsi="Arial" w:cs="Arial"/>
                <w:color w:val="333333"/>
                <w:kern w:val="0"/>
                <w:sz w:val="24"/>
                <w:szCs w:val="24"/>
                <w:lang w:eastAsia="es-MX"/>
                <w14:ligatures w14:val="none"/>
              </w:rPr>
            </w:pPr>
          </w:p>
        </w:tc>
        <w:tc>
          <w:tcPr>
            <w:tcW w:w="895" w:type="pct"/>
            <w:tcBorders>
              <w:top w:val="nil"/>
              <w:left w:val="nil"/>
              <w:bottom w:val="nil"/>
              <w:right w:val="nil"/>
            </w:tcBorders>
            <w:tcMar>
              <w:top w:w="30" w:type="dxa"/>
              <w:left w:w="120" w:type="dxa"/>
              <w:bottom w:w="30" w:type="dxa"/>
              <w:right w:w="0" w:type="dxa"/>
            </w:tcMar>
            <w:vAlign w:val="center"/>
          </w:tcPr>
          <w:p w14:paraId="45F0FA26" w14:textId="77777777" w:rsidR="0093626A" w:rsidRDefault="00000000" w:rsidP="005915A7">
            <w:pPr>
              <w:spacing w:after="0" w:line="360" w:lineRule="auto"/>
              <w:jc w:val="right"/>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1.314</w:t>
            </w:r>
          </w:p>
        </w:tc>
        <w:tc>
          <w:tcPr>
            <w:tcW w:w="342" w:type="pct"/>
            <w:tcBorders>
              <w:top w:val="nil"/>
              <w:left w:val="nil"/>
              <w:bottom w:val="nil"/>
              <w:right w:val="nil"/>
            </w:tcBorders>
            <w:tcMar>
              <w:top w:w="30" w:type="dxa"/>
              <w:left w:w="30" w:type="dxa"/>
              <w:bottom w:w="30" w:type="dxa"/>
              <w:right w:w="120" w:type="dxa"/>
            </w:tcMar>
            <w:vAlign w:val="center"/>
          </w:tcPr>
          <w:p w14:paraId="48B94CDC" w14:textId="77777777" w:rsidR="0093626A" w:rsidRDefault="0093626A" w:rsidP="005915A7">
            <w:pPr>
              <w:spacing w:after="0" w:line="360" w:lineRule="auto"/>
              <w:jc w:val="right"/>
              <w:rPr>
                <w:rFonts w:ascii="Arial" w:eastAsia="Times New Roman" w:hAnsi="Arial" w:cs="Arial"/>
                <w:color w:val="333333"/>
                <w:kern w:val="0"/>
                <w:sz w:val="24"/>
                <w:szCs w:val="24"/>
                <w:lang w:eastAsia="es-MX"/>
                <w14:ligatures w14:val="none"/>
              </w:rPr>
            </w:pPr>
          </w:p>
        </w:tc>
      </w:tr>
      <w:tr w:rsidR="0093626A" w14:paraId="64987122" w14:textId="77777777">
        <w:trPr>
          <w:cantSplit/>
          <w:tblCellSpacing w:w="15" w:type="dxa"/>
        </w:trPr>
        <w:tc>
          <w:tcPr>
            <w:tcW w:w="746" w:type="pct"/>
            <w:tcBorders>
              <w:top w:val="nil"/>
              <w:left w:val="nil"/>
              <w:bottom w:val="nil"/>
              <w:right w:val="nil"/>
            </w:tcBorders>
            <w:tcMar>
              <w:top w:w="30" w:type="dxa"/>
              <w:left w:w="120" w:type="dxa"/>
              <w:bottom w:w="30" w:type="dxa"/>
              <w:right w:w="0" w:type="dxa"/>
            </w:tcMar>
            <w:vAlign w:val="center"/>
          </w:tcPr>
          <w:p w14:paraId="63003CEA" w14:textId="77777777" w:rsidR="0093626A" w:rsidRDefault="00000000" w:rsidP="005915A7">
            <w:pPr>
              <w:spacing w:after="0" w:line="360" w:lineRule="auto"/>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I1</w:t>
            </w:r>
          </w:p>
        </w:tc>
        <w:tc>
          <w:tcPr>
            <w:tcW w:w="231" w:type="pct"/>
            <w:tcBorders>
              <w:top w:val="nil"/>
              <w:left w:val="nil"/>
              <w:bottom w:val="nil"/>
              <w:right w:val="nil"/>
            </w:tcBorders>
            <w:tcMar>
              <w:top w:w="30" w:type="dxa"/>
              <w:left w:w="30" w:type="dxa"/>
              <w:bottom w:w="30" w:type="dxa"/>
              <w:right w:w="120" w:type="dxa"/>
            </w:tcMar>
            <w:vAlign w:val="center"/>
          </w:tcPr>
          <w:p w14:paraId="1B2DCA68" w14:textId="77777777" w:rsidR="0093626A" w:rsidRDefault="0093626A" w:rsidP="005915A7">
            <w:pPr>
              <w:spacing w:after="0" w:line="360" w:lineRule="auto"/>
              <w:rPr>
                <w:rFonts w:ascii="Arial" w:eastAsia="Times New Roman" w:hAnsi="Arial" w:cs="Arial"/>
                <w:color w:val="333333"/>
                <w:kern w:val="0"/>
                <w:sz w:val="24"/>
                <w:szCs w:val="24"/>
                <w:lang w:eastAsia="es-MX"/>
                <w14:ligatures w14:val="none"/>
              </w:rPr>
            </w:pPr>
          </w:p>
        </w:tc>
        <w:tc>
          <w:tcPr>
            <w:tcW w:w="875" w:type="pct"/>
            <w:tcBorders>
              <w:top w:val="nil"/>
              <w:left w:val="nil"/>
              <w:bottom w:val="nil"/>
              <w:right w:val="nil"/>
            </w:tcBorders>
            <w:tcMar>
              <w:top w:w="30" w:type="dxa"/>
              <w:left w:w="120" w:type="dxa"/>
              <w:bottom w:w="30" w:type="dxa"/>
              <w:right w:w="0" w:type="dxa"/>
            </w:tcMar>
            <w:vAlign w:val="center"/>
          </w:tcPr>
          <w:p w14:paraId="46BAB2C0" w14:textId="77777777" w:rsidR="0093626A" w:rsidRDefault="00000000" w:rsidP="005915A7">
            <w:pPr>
              <w:spacing w:after="0" w:line="360" w:lineRule="auto"/>
              <w:jc w:val="right"/>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3.69</w:t>
            </w:r>
          </w:p>
        </w:tc>
        <w:tc>
          <w:tcPr>
            <w:tcW w:w="269" w:type="pct"/>
            <w:tcBorders>
              <w:top w:val="nil"/>
              <w:left w:val="nil"/>
              <w:bottom w:val="nil"/>
              <w:right w:val="nil"/>
            </w:tcBorders>
            <w:tcMar>
              <w:top w:w="30" w:type="dxa"/>
              <w:left w:w="30" w:type="dxa"/>
              <w:bottom w:w="30" w:type="dxa"/>
              <w:right w:w="120" w:type="dxa"/>
            </w:tcMar>
            <w:vAlign w:val="center"/>
          </w:tcPr>
          <w:p w14:paraId="036847B8" w14:textId="77777777" w:rsidR="0093626A" w:rsidRDefault="0093626A" w:rsidP="005915A7">
            <w:pPr>
              <w:spacing w:after="0" w:line="360" w:lineRule="auto"/>
              <w:jc w:val="right"/>
              <w:rPr>
                <w:rFonts w:ascii="Arial" w:eastAsia="Times New Roman" w:hAnsi="Arial" w:cs="Arial"/>
                <w:color w:val="333333"/>
                <w:kern w:val="0"/>
                <w:sz w:val="24"/>
                <w:szCs w:val="24"/>
                <w:lang w:eastAsia="es-MX"/>
                <w14:ligatures w14:val="none"/>
              </w:rPr>
            </w:pPr>
          </w:p>
        </w:tc>
        <w:tc>
          <w:tcPr>
            <w:tcW w:w="900" w:type="pct"/>
            <w:tcBorders>
              <w:top w:val="nil"/>
              <w:left w:val="nil"/>
              <w:bottom w:val="nil"/>
              <w:right w:val="nil"/>
            </w:tcBorders>
            <w:tcMar>
              <w:top w:w="30" w:type="dxa"/>
              <w:left w:w="120" w:type="dxa"/>
              <w:bottom w:w="30" w:type="dxa"/>
              <w:right w:w="0" w:type="dxa"/>
            </w:tcMar>
            <w:vAlign w:val="center"/>
          </w:tcPr>
          <w:p w14:paraId="52941AC2" w14:textId="77777777" w:rsidR="0093626A" w:rsidRDefault="00000000" w:rsidP="005915A7">
            <w:pPr>
              <w:spacing w:after="0" w:line="360" w:lineRule="auto"/>
              <w:jc w:val="right"/>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4</w:t>
            </w:r>
          </w:p>
        </w:tc>
        <w:tc>
          <w:tcPr>
            <w:tcW w:w="591" w:type="pct"/>
            <w:tcBorders>
              <w:top w:val="nil"/>
              <w:left w:val="nil"/>
              <w:bottom w:val="nil"/>
              <w:right w:val="nil"/>
            </w:tcBorders>
            <w:tcMar>
              <w:top w:w="30" w:type="dxa"/>
              <w:left w:w="30" w:type="dxa"/>
              <w:bottom w:w="30" w:type="dxa"/>
              <w:right w:w="120" w:type="dxa"/>
            </w:tcMar>
            <w:vAlign w:val="center"/>
          </w:tcPr>
          <w:p w14:paraId="16D3782B" w14:textId="77777777" w:rsidR="0093626A" w:rsidRDefault="0093626A" w:rsidP="005915A7">
            <w:pPr>
              <w:spacing w:after="0" w:line="360" w:lineRule="auto"/>
              <w:jc w:val="right"/>
              <w:rPr>
                <w:rFonts w:ascii="Arial" w:eastAsia="Times New Roman" w:hAnsi="Arial" w:cs="Arial"/>
                <w:color w:val="333333"/>
                <w:kern w:val="0"/>
                <w:sz w:val="24"/>
                <w:szCs w:val="24"/>
                <w:lang w:eastAsia="es-MX"/>
                <w14:ligatures w14:val="none"/>
              </w:rPr>
            </w:pPr>
          </w:p>
        </w:tc>
        <w:tc>
          <w:tcPr>
            <w:tcW w:w="895" w:type="pct"/>
            <w:tcBorders>
              <w:top w:val="nil"/>
              <w:left w:val="nil"/>
              <w:bottom w:val="nil"/>
              <w:right w:val="nil"/>
            </w:tcBorders>
            <w:tcMar>
              <w:top w:w="30" w:type="dxa"/>
              <w:left w:w="120" w:type="dxa"/>
              <w:bottom w:w="30" w:type="dxa"/>
              <w:right w:w="0" w:type="dxa"/>
            </w:tcMar>
            <w:vAlign w:val="center"/>
          </w:tcPr>
          <w:p w14:paraId="49B5CE7B" w14:textId="77777777" w:rsidR="0093626A" w:rsidRDefault="00000000" w:rsidP="005915A7">
            <w:pPr>
              <w:spacing w:after="0" w:line="360" w:lineRule="auto"/>
              <w:jc w:val="right"/>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1.043</w:t>
            </w:r>
          </w:p>
        </w:tc>
        <w:tc>
          <w:tcPr>
            <w:tcW w:w="342" w:type="pct"/>
            <w:tcBorders>
              <w:top w:val="nil"/>
              <w:left w:val="nil"/>
              <w:bottom w:val="nil"/>
              <w:right w:val="nil"/>
            </w:tcBorders>
            <w:tcMar>
              <w:top w:w="30" w:type="dxa"/>
              <w:left w:w="30" w:type="dxa"/>
              <w:bottom w:w="30" w:type="dxa"/>
              <w:right w:w="120" w:type="dxa"/>
            </w:tcMar>
            <w:vAlign w:val="center"/>
          </w:tcPr>
          <w:p w14:paraId="5EBF1BC0" w14:textId="77777777" w:rsidR="0093626A" w:rsidRDefault="0093626A" w:rsidP="005915A7">
            <w:pPr>
              <w:spacing w:after="0" w:line="360" w:lineRule="auto"/>
              <w:jc w:val="right"/>
              <w:rPr>
                <w:rFonts w:ascii="Arial" w:eastAsia="Times New Roman" w:hAnsi="Arial" w:cs="Arial"/>
                <w:color w:val="333333"/>
                <w:kern w:val="0"/>
                <w:sz w:val="24"/>
                <w:szCs w:val="24"/>
                <w:lang w:eastAsia="es-MX"/>
                <w14:ligatures w14:val="none"/>
              </w:rPr>
            </w:pPr>
          </w:p>
        </w:tc>
      </w:tr>
      <w:tr w:rsidR="0093626A" w14:paraId="72F0AA61" w14:textId="77777777">
        <w:trPr>
          <w:cantSplit/>
          <w:tblCellSpacing w:w="15" w:type="dxa"/>
        </w:trPr>
        <w:tc>
          <w:tcPr>
            <w:tcW w:w="746" w:type="pct"/>
            <w:tcBorders>
              <w:top w:val="nil"/>
              <w:left w:val="nil"/>
              <w:bottom w:val="nil"/>
              <w:right w:val="nil"/>
            </w:tcBorders>
            <w:tcMar>
              <w:top w:w="30" w:type="dxa"/>
              <w:left w:w="120" w:type="dxa"/>
              <w:bottom w:w="30" w:type="dxa"/>
              <w:right w:w="0" w:type="dxa"/>
            </w:tcMar>
            <w:vAlign w:val="center"/>
          </w:tcPr>
          <w:p w14:paraId="47392421" w14:textId="77777777" w:rsidR="0093626A" w:rsidRDefault="00000000" w:rsidP="005915A7">
            <w:pPr>
              <w:spacing w:after="0" w:line="360" w:lineRule="auto"/>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I2</w:t>
            </w:r>
          </w:p>
        </w:tc>
        <w:tc>
          <w:tcPr>
            <w:tcW w:w="231" w:type="pct"/>
            <w:tcBorders>
              <w:top w:val="nil"/>
              <w:left w:val="nil"/>
              <w:bottom w:val="nil"/>
              <w:right w:val="nil"/>
            </w:tcBorders>
            <w:tcMar>
              <w:top w:w="30" w:type="dxa"/>
              <w:left w:w="30" w:type="dxa"/>
              <w:bottom w:w="30" w:type="dxa"/>
              <w:right w:w="120" w:type="dxa"/>
            </w:tcMar>
            <w:vAlign w:val="center"/>
          </w:tcPr>
          <w:p w14:paraId="762BECB6" w14:textId="77777777" w:rsidR="0093626A" w:rsidRDefault="0093626A" w:rsidP="005915A7">
            <w:pPr>
              <w:spacing w:after="0" w:line="360" w:lineRule="auto"/>
              <w:rPr>
                <w:rFonts w:ascii="Arial" w:eastAsia="Times New Roman" w:hAnsi="Arial" w:cs="Arial"/>
                <w:color w:val="333333"/>
                <w:kern w:val="0"/>
                <w:sz w:val="24"/>
                <w:szCs w:val="24"/>
                <w:lang w:eastAsia="es-MX"/>
                <w14:ligatures w14:val="none"/>
              </w:rPr>
            </w:pPr>
          </w:p>
        </w:tc>
        <w:tc>
          <w:tcPr>
            <w:tcW w:w="875" w:type="pct"/>
            <w:tcBorders>
              <w:top w:val="nil"/>
              <w:left w:val="nil"/>
              <w:bottom w:val="nil"/>
              <w:right w:val="nil"/>
            </w:tcBorders>
            <w:tcMar>
              <w:top w:w="30" w:type="dxa"/>
              <w:left w:w="120" w:type="dxa"/>
              <w:bottom w:w="30" w:type="dxa"/>
              <w:right w:w="0" w:type="dxa"/>
            </w:tcMar>
            <w:vAlign w:val="center"/>
          </w:tcPr>
          <w:p w14:paraId="0E250372" w14:textId="77777777" w:rsidR="0093626A" w:rsidRDefault="00000000" w:rsidP="005915A7">
            <w:pPr>
              <w:spacing w:after="0" w:line="360" w:lineRule="auto"/>
              <w:jc w:val="right"/>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3.82</w:t>
            </w:r>
          </w:p>
        </w:tc>
        <w:tc>
          <w:tcPr>
            <w:tcW w:w="269" w:type="pct"/>
            <w:tcBorders>
              <w:top w:val="nil"/>
              <w:left w:val="nil"/>
              <w:bottom w:val="nil"/>
              <w:right w:val="nil"/>
            </w:tcBorders>
            <w:tcMar>
              <w:top w:w="30" w:type="dxa"/>
              <w:left w:w="30" w:type="dxa"/>
              <w:bottom w:w="30" w:type="dxa"/>
              <w:right w:w="120" w:type="dxa"/>
            </w:tcMar>
            <w:vAlign w:val="center"/>
          </w:tcPr>
          <w:p w14:paraId="3D01F3AC" w14:textId="77777777" w:rsidR="0093626A" w:rsidRDefault="0093626A" w:rsidP="005915A7">
            <w:pPr>
              <w:spacing w:after="0" w:line="360" w:lineRule="auto"/>
              <w:jc w:val="right"/>
              <w:rPr>
                <w:rFonts w:ascii="Arial" w:eastAsia="Times New Roman" w:hAnsi="Arial" w:cs="Arial"/>
                <w:color w:val="333333"/>
                <w:kern w:val="0"/>
                <w:sz w:val="24"/>
                <w:szCs w:val="24"/>
                <w:lang w:eastAsia="es-MX"/>
                <w14:ligatures w14:val="none"/>
              </w:rPr>
            </w:pPr>
          </w:p>
        </w:tc>
        <w:tc>
          <w:tcPr>
            <w:tcW w:w="900" w:type="pct"/>
            <w:tcBorders>
              <w:top w:val="nil"/>
              <w:left w:val="nil"/>
              <w:bottom w:val="nil"/>
              <w:right w:val="nil"/>
            </w:tcBorders>
            <w:tcMar>
              <w:top w:w="30" w:type="dxa"/>
              <w:left w:w="120" w:type="dxa"/>
              <w:bottom w:w="30" w:type="dxa"/>
              <w:right w:w="0" w:type="dxa"/>
            </w:tcMar>
            <w:vAlign w:val="center"/>
          </w:tcPr>
          <w:p w14:paraId="0EEDDD5C" w14:textId="77777777" w:rsidR="0093626A" w:rsidRDefault="00000000" w:rsidP="005915A7">
            <w:pPr>
              <w:spacing w:after="0" w:line="360" w:lineRule="auto"/>
              <w:jc w:val="right"/>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4</w:t>
            </w:r>
          </w:p>
        </w:tc>
        <w:tc>
          <w:tcPr>
            <w:tcW w:w="591" w:type="pct"/>
            <w:tcBorders>
              <w:top w:val="nil"/>
              <w:left w:val="nil"/>
              <w:bottom w:val="nil"/>
              <w:right w:val="nil"/>
            </w:tcBorders>
            <w:tcMar>
              <w:top w:w="30" w:type="dxa"/>
              <w:left w:w="30" w:type="dxa"/>
              <w:bottom w:w="30" w:type="dxa"/>
              <w:right w:w="120" w:type="dxa"/>
            </w:tcMar>
            <w:vAlign w:val="center"/>
          </w:tcPr>
          <w:p w14:paraId="5651DE06" w14:textId="77777777" w:rsidR="0093626A" w:rsidRDefault="0093626A" w:rsidP="005915A7">
            <w:pPr>
              <w:spacing w:after="0" w:line="360" w:lineRule="auto"/>
              <w:jc w:val="right"/>
              <w:rPr>
                <w:rFonts w:ascii="Arial" w:eastAsia="Times New Roman" w:hAnsi="Arial" w:cs="Arial"/>
                <w:color w:val="333333"/>
                <w:kern w:val="0"/>
                <w:sz w:val="24"/>
                <w:szCs w:val="24"/>
                <w:lang w:eastAsia="es-MX"/>
                <w14:ligatures w14:val="none"/>
              </w:rPr>
            </w:pPr>
          </w:p>
        </w:tc>
        <w:tc>
          <w:tcPr>
            <w:tcW w:w="895" w:type="pct"/>
            <w:tcBorders>
              <w:top w:val="nil"/>
              <w:left w:val="nil"/>
              <w:bottom w:val="nil"/>
              <w:right w:val="nil"/>
            </w:tcBorders>
            <w:tcMar>
              <w:top w:w="30" w:type="dxa"/>
              <w:left w:w="120" w:type="dxa"/>
              <w:bottom w:w="30" w:type="dxa"/>
              <w:right w:w="0" w:type="dxa"/>
            </w:tcMar>
            <w:vAlign w:val="center"/>
          </w:tcPr>
          <w:p w14:paraId="1DBF7096" w14:textId="77777777" w:rsidR="0093626A" w:rsidRDefault="00000000" w:rsidP="005915A7">
            <w:pPr>
              <w:spacing w:after="0" w:line="360" w:lineRule="auto"/>
              <w:jc w:val="right"/>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1.078</w:t>
            </w:r>
          </w:p>
        </w:tc>
        <w:tc>
          <w:tcPr>
            <w:tcW w:w="342" w:type="pct"/>
            <w:tcBorders>
              <w:top w:val="nil"/>
              <w:left w:val="nil"/>
              <w:bottom w:val="nil"/>
              <w:right w:val="nil"/>
            </w:tcBorders>
            <w:tcMar>
              <w:top w:w="30" w:type="dxa"/>
              <w:left w:w="30" w:type="dxa"/>
              <w:bottom w:w="30" w:type="dxa"/>
              <w:right w:w="120" w:type="dxa"/>
            </w:tcMar>
            <w:vAlign w:val="center"/>
          </w:tcPr>
          <w:p w14:paraId="544EED41" w14:textId="77777777" w:rsidR="0093626A" w:rsidRDefault="0093626A" w:rsidP="005915A7">
            <w:pPr>
              <w:spacing w:after="0" w:line="360" w:lineRule="auto"/>
              <w:jc w:val="right"/>
              <w:rPr>
                <w:rFonts w:ascii="Arial" w:eastAsia="Times New Roman" w:hAnsi="Arial" w:cs="Arial"/>
                <w:color w:val="333333"/>
                <w:kern w:val="0"/>
                <w:sz w:val="24"/>
                <w:szCs w:val="24"/>
                <w:lang w:eastAsia="es-MX"/>
                <w14:ligatures w14:val="none"/>
              </w:rPr>
            </w:pPr>
          </w:p>
        </w:tc>
      </w:tr>
      <w:tr w:rsidR="0093626A" w14:paraId="6F8A2F19" w14:textId="77777777">
        <w:trPr>
          <w:cantSplit/>
          <w:tblCellSpacing w:w="15" w:type="dxa"/>
        </w:trPr>
        <w:tc>
          <w:tcPr>
            <w:tcW w:w="746" w:type="pct"/>
            <w:tcBorders>
              <w:top w:val="nil"/>
              <w:left w:val="nil"/>
              <w:bottom w:val="nil"/>
              <w:right w:val="nil"/>
            </w:tcBorders>
            <w:tcMar>
              <w:top w:w="30" w:type="dxa"/>
              <w:left w:w="120" w:type="dxa"/>
              <w:bottom w:w="30" w:type="dxa"/>
              <w:right w:w="0" w:type="dxa"/>
            </w:tcMar>
            <w:vAlign w:val="center"/>
          </w:tcPr>
          <w:p w14:paraId="15C54E4A" w14:textId="77777777" w:rsidR="0093626A" w:rsidRDefault="00000000" w:rsidP="005915A7">
            <w:pPr>
              <w:spacing w:after="0" w:line="360" w:lineRule="auto"/>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I3</w:t>
            </w:r>
          </w:p>
        </w:tc>
        <w:tc>
          <w:tcPr>
            <w:tcW w:w="231" w:type="pct"/>
            <w:tcBorders>
              <w:top w:val="nil"/>
              <w:left w:val="nil"/>
              <w:bottom w:val="nil"/>
              <w:right w:val="nil"/>
            </w:tcBorders>
            <w:tcMar>
              <w:top w:w="30" w:type="dxa"/>
              <w:left w:w="30" w:type="dxa"/>
              <w:bottom w:w="30" w:type="dxa"/>
              <w:right w:w="120" w:type="dxa"/>
            </w:tcMar>
            <w:vAlign w:val="center"/>
          </w:tcPr>
          <w:p w14:paraId="4D593AE2" w14:textId="77777777" w:rsidR="0093626A" w:rsidRDefault="0093626A" w:rsidP="005915A7">
            <w:pPr>
              <w:spacing w:after="0" w:line="360" w:lineRule="auto"/>
              <w:rPr>
                <w:rFonts w:ascii="Arial" w:eastAsia="Times New Roman" w:hAnsi="Arial" w:cs="Arial"/>
                <w:color w:val="333333"/>
                <w:kern w:val="0"/>
                <w:sz w:val="24"/>
                <w:szCs w:val="24"/>
                <w:lang w:eastAsia="es-MX"/>
                <w14:ligatures w14:val="none"/>
              </w:rPr>
            </w:pPr>
          </w:p>
        </w:tc>
        <w:tc>
          <w:tcPr>
            <w:tcW w:w="875" w:type="pct"/>
            <w:tcBorders>
              <w:top w:val="nil"/>
              <w:left w:val="nil"/>
              <w:bottom w:val="nil"/>
              <w:right w:val="nil"/>
            </w:tcBorders>
            <w:tcMar>
              <w:top w:w="30" w:type="dxa"/>
              <w:left w:w="120" w:type="dxa"/>
              <w:bottom w:w="30" w:type="dxa"/>
              <w:right w:w="0" w:type="dxa"/>
            </w:tcMar>
            <w:vAlign w:val="center"/>
          </w:tcPr>
          <w:p w14:paraId="7334CD4F" w14:textId="77777777" w:rsidR="0093626A" w:rsidRDefault="00000000" w:rsidP="005915A7">
            <w:pPr>
              <w:spacing w:after="0" w:line="360" w:lineRule="auto"/>
              <w:jc w:val="right"/>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4.06</w:t>
            </w:r>
          </w:p>
        </w:tc>
        <w:tc>
          <w:tcPr>
            <w:tcW w:w="269" w:type="pct"/>
            <w:tcBorders>
              <w:top w:val="nil"/>
              <w:left w:val="nil"/>
              <w:bottom w:val="nil"/>
              <w:right w:val="nil"/>
            </w:tcBorders>
            <w:tcMar>
              <w:top w:w="30" w:type="dxa"/>
              <w:left w:w="30" w:type="dxa"/>
              <w:bottom w:w="30" w:type="dxa"/>
              <w:right w:w="120" w:type="dxa"/>
            </w:tcMar>
            <w:vAlign w:val="center"/>
          </w:tcPr>
          <w:p w14:paraId="4BB54E67" w14:textId="77777777" w:rsidR="0093626A" w:rsidRDefault="0093626A" w:rsidP="005915A7">
            <w:pPr>
              <w:spacing w:after="0" w:line="360" w:lineRule="auto"/>
              <w:jc w:val="right"/>
              <w:rPr>
                <w:rFonts w:ascii="Arial" w:eastAsia="Times New Roman" w:hAnsi="Arial" w:cs="Arial"/>
                <w:color w:val="333333"/>
                <w:kern w:val="0"/>
                <w:sz w:val="24"/>
                <w:szCs w:val="24"/>
                <w:lang w:eastAsia="es-MX"/>
                <w14:ligatures w14:val="none"/>
              </w:rPr>
            </w:pPr>
          </w:p>
        </w:tc>
        <w:tc>
          <w:tcPr>
            <w:tcW w:w="900" w:type="pct"/>
            <w:tcBorders>
              <w:top w:val="nil"/>
              <w:left w:val="nil"/>
              <w:bottom w:val="nil"/>
              <w:right w:val="nil"/>
            </w:tcBorders>
            <w:tcMar>
              <w:top w:w="30" w:type="dxa"/>
              <w:left w:w="120" w:type="dxa"/>
              <w:bottom w:w="30" w:type="dxa"/>
              <w:right w:w="0" w:type="dxa"/>
            </w:tcMar>
            <w:vAlign w:val="center"/>
          </w:tcPr>
          <w:p w14:paraId="058DA541" w14:textId="77777777" w:rsidR="0093626A" w:rsidRDefault="00000000" w:rsidP="005915A7">
            <w:pPr>
              <w:spacing w:after="0" w:line="360" w:lineRule="auto"/>
              <w:jc w:val="right"/>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4</w:t>
            </w:r>
          </w:p>
        </w:tc>
        <w:tc>
          <w:tcPr>
            <w:tcW w:w="591" w:type="pct"/>
            <w:tcBorders>
              <w:top w:val="nil"/>
              <w:left w:val="nil"/>
              <w:bottom w:val="nil"/>
              <w:right w:val="nil"/>
            </w:tcBorders>
            <w:tcMar>
              <w:top w:w="30" w:type="dxa"/>
              <w:left w:w="30" w:type="dxa"/>
              <w:bottom w:w="30" w:type="dxa"/>
              <w:right w:w="120" w:type="dxa"/>
            </w:tcMar>
            <w:vAlign w:val="center"/>
          </w:tcPr>
          <w:p w14:paraId="26096E4E" w14:textId="77777777" w:rsidR="0093626A" w:rsidRDefault="0093626A" w:rsidP="005915A7">
            <w:pPr>
              <w:spacing w:after="0" w:line="360" w:lineRule="auto"/>
              <w:jc w:val="right"/>
              <w:rPr>
                <w:rFonts w:ascii="Arial" w:eastAsia="Times New Roman" w:hAnsi="Arial" w:cs="Arial"/>
                <w:color w:val="333333"/>
                <w:kern w:val="0"/>
                <w:sz w:val="24"/>
                <w:szCs w:val="24"/>
                <w:lang w:eastAsia="es-MX"/>
                <w14:ligatures w14:val="none"/>
              </w:rPr>
            </w:pPr>
          </w:p>
        </w:tc>
        <w:tc>
          <w:tcPr>
            <w:tcW w:w="895" w:type="pct"/>
            <w:tcBorders>
              <w:top w:val="nil"/>
              <w:left w:val="nil"/>
              <w:bottom w:val="nil"/>
              <w:right w:val="nil"/>
            </w:tcBorders>
            <w:tcMar>
              <w:top w:w="30" w:type="dxa"/>
              <w:left w:w="120" w:type="dxa"/>
              <w:bottom w:w="30" w:type="dxa"/>
              <w:right w:w="0" w:type="dxa"/>
            </w:tcMar>
            <w:vAlign w:val="center"/>
          </w:tcPr>
          <w:p w14:paraId="52D968F2" w14:textId="77777777" w:rsidR="0093626A" w:rsidRDefault="00000000" w:rsidP="005915A7">
            <w:pPr>
              <w:spacing w:after="0" w:line="360" w:lineRule="auto"/>
              <w:jc w:val="right"/>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1.034</w:t>
            </w:r>
          </w:p>
        </w:tc>
        <w:tc>
          <w:tcPr>
            <w:tcW w:w="342" w:type="pct"/>
            <w:tcBorders>
              <w:top w:val="nil"/>
              <w:left w:val="nil"/>
              <w:bottom w:val="nil"/>
              <w:right w:val="nil"/>
            </w:tcBorders>
            <w:tcMar>
              <w:top w:w="30" w:type="dxa"/>
              <w:left w:w="30" w:type="dxa"/>
              <w:bottom w:w="30" w:type="dxa"/>
              <w:right w:w="120" w:type="dxa"/>
            </w:tcMar>
            <w:vAlign w:val="center"/>
          </w:tcPr>
          <w:p w14:paraId="799BF81B" w14:textId="77777777" w:rsidR="0093626A" w:rsidRDefault="0093626A" w:rsidP="005915A7">
            <w:pPr>
              <w:spacing w:after="0" w:line="360" w:lineRule="auto"/>
              <w:jc w:val="right"/>
              <w:rPr>
                <w:rFonts w:ascii="Arial" w:eastAsia="Times New Roman" w:hAnsi="Arial" w:cs="Arial"/>
                <w:color w:val="333333"/>
                <w:kern w:val="0"/>
                <w:sz w:val="24"/>
                <w:szCs w:val="24"/>
                <w:lang w:eastAsia="es-MX"/>
                <w14:ligatures w14:val="none"/>
              </w:rPr>
            </w:pPr>
          </w:p>
        </w:tc>
      </w:tr>
      <w:tr w:rsidR="0093626A" w14:paraId="01D37B3A" w14:textId="77777777">
        <w:trPr>
          <w:cantSplit/>
          <w:tblCellSpacing w:w="15" w:type="dxa"/>
        </w:trPr>
        <w:tc>
          <w:tcPr>
            <w:tcW w:w="746" w:type="pct"/>
            <w:tcBorders>
              <w:top w:val="nil"/>
              <w:left w:val="nil"/>
              <w:bottom w:val="nil"/>
              <w:right w:val="nil"/>
            </w:tcBorders>
            <w:tcMar>
              <w:top w:w="30" w:type="dxa"/>
              <w:left w:w="120" w:type="dxa"/>
              <w:bottom w:w="30" w:type="dxa"/>
              <w:right w:w="0" w:type="dxa"/>
            </w:tcMar>
            <w:vAlign w:val="center"/>
          </w:tcPr>
          <w:p w14:paraId="233DC5B3" w14:textId="77777777" w:rsidR="0093626A" w:rsidRDefault="00000000" w:rsidP="005915A7">
            <w:pPr>
              <w:spacing w:after="0" w:line="360" w:lineRule="auto"/>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I4</w:t>
            </w:r>
          </w:p>
        </w:tc>
        <w:tc>
          <w:tcPr>
            <w:tcW w:w="231" w:type="pct"/>
            <w:tcBorders>
              <w:top w:val="nil"/>
              <w:left w:val="nil"/>
              <w:bottom w:val="nil"/>
              <w:right w:val="nil"/>
            </w:tcBorders>
            <w:tcMar>
              <w:top w:w="30" w:type="dxa"/>
              <w:left w:w="30" w:type="dxa"/>
              <w:bottom w:w="30" w:type="dxa"/>
              <w:right w:w="120" w:type="dxa"/>
            </w:tcMar>
            <w:vAlign w:val="center"/>
          </w:tcPr>
          <w:p w14:paraId="13D621FF" w14:textId="77777777" w:rsidR="0093626A" w:rsidRDefault="0093626A" w:rsidP="005915A7">
            <w:pPr>
              <w:spacing w:after="0" w:line="360" w:lineRule="auto"/>
              <w:rPr>
                <w:rFonts w:ascii="Arial" w:eastAsia="Times New Roman" w:hAnsi="Arial" w:cs="Arial"/>
                <w:color w:val="333333"/>
                <w:kern w:val="0"/>
                <w:sz w:val="24"/>
                <w:szCs w:val="24"/>
                <w:lang w:eastAsia="es-MX"/>
                <w14:ligatures w14:val="none"/>
              </w:rPr>
            </w:pPr>
          </w:p>
        </w:tc>
        <w:tc>
          <w:tcPr>
            <w:tcW w:w="875" w:type="pct"/>
            <w:tcBorders>
              <w:top w:val="nil"/>
              <w:left w:val="nil"/>
              <w:bottom w:val="nil"/>
              <w:right w:val="nil"/>
            </w:tcBorders>
            <w:tcMar>
              <w:top w:w="30" w:type="dxa"/>
              <w:left w:w="120" w:type="dxa"/>
              <w:bottom w:w="30" w:type="dxa"/>
              <w:right w:w="0" w:type="dxa"/>
            </w:tcMar>
            <w:vAlign w:val="center"/>
          </w:tcPr>
          <w:p w14:paraId="18E2EF6F" w14:textId="77777777" w:rsidR="0093626A" w:rsidRDefault="00000000" w:rsidP="005915A7">
            <w:pPr>
              <w:spacing w:after="0" w:line="360" w:lineRule="auto"/>
              <w:jc w:val="right"/>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4.42</w:t>
            </w:r>
          </w:p>
        </w:tc>
        <w:tc>
          <w:tcPr>
            <w:tcW w:w="269" w:type="pct"/>
            <w:tcBorders>
              <w:top w:val="nil"/>
              <w:left w:val="nil"/>
              <w:bottom w:val="nil"/>
              <w:right w:val="nil"/>
            </w:tcBorders>
            <w:tcMar>
              <w:top w:w="30" w:type="dxa"/>
              <w:left w:w="30" w:type="dxa"/>
              <w:bottom w:w="30" w:type="dxa"/>
              <w:right w:w="120" w:type="dxa"/>
            </w:tcMar>
            <w:vAlign w:val="center"/>
          </w:tcPr>
          <w:p w14:paraId="550826DA" w14:textId="77777777" w:rsidR="0093626A" w:rsidRDefault="0093626A" w:rsidP="005915A7">
            <w:pPr>
              <w:spacing w:after="0" w:line="360" w:lineRule="auto"/>
              <w:jc w:val="right"/>
              <w:rPr>
                <w:rFonts w:ascii="Arial" w:eastAsia="Times New Roman" w:hAnsi="Arial" w:cs="Arial"/>
                <w:color w:val="333333"/>
                <w:kern w:val="0"/>
                <w:sz w:val="24"/>
                <w:szCs w:val="24"/>
                <w:lang w:eastAsia="es-MX"/>
                <w14:ligatures w14:val="none"/>
              </w:rPr>
            </w:pPr>
          </w:p>
        </w:tc>
        <w:tc>
          <w:tcPr>
            <w:tcW w:w="900" w:type="pct"/>
            <w:tcBorders>
              <w:top w:val="nil"/>
              <w:left w:val="nil"/>
              <w:bottom w:val="nil"/>
              <w:right w:val="nil"/>
            </w:tcBorders>
            <w:tcMar>
              <w:top w:w="30" w:type="dxa"/>
              <w:left w:w="120" w:type="dxa"/>
              <w:bottom w:w="30" w:type="dxa"/>
              <w:right w:w="0" w:type="dxa"/>
            </w:tcMar>
            <w:vAlign w:val="center"/>
          </w:tcPr>
          <w:p w14:paraId="34C75582" w14:textId="77777777" w:rsidR="0093626A" w:rsidRDefault="00000000" w:rsidP="005915A7">
            <w:pPr>
              <w:spacing w:after="0" w:line="360" w:lineRule="auto"/>
              <w:jc w:val="right"/>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5</w:t>
            </w:r>
          </w:p>
        </w:tc>
        <w:tc>
          <w:tcPr>
            <w:tcW w:w="591" w:type="pct"/>
            <w:tcBorders>
              <w:top w:val="nil"/>
              <w:left w:val="nil"/>
              <w:bottom w:val="nil"/>
              <w:right w:val="nil"/>
            </w:tcBorders>
            <w:tcMar>
              <w:top w:w="30" w:type="dxa"/>
              <w:left w:w="30" w:type="dxa"/>
              <w:bottom w:w="30" w:type="dxa"/>
              <w:right w:w="120" w:type="dxa"/>
            </w:tcMar>
            <w:vAlign w:val="center"/>
          </w:tcPr>
          <w:p w14:paraId="5E282DAC" w14:textId="77777777" w:rsidR="0093626A" w:rsidRDefault="0093626A" w:rsidP="005915A7">
            <w:pPr>
              <w:spacing w:after="0" w:line="360" w:lineRule="auto"/>
              <w:jc w:val="right"/>
              <w:rPr>
                <w:rFonts w:ascii="Arial" w:eastAsia="Times New Roman" w:hAnsi="Arial" w:cs="Arial"/>
                <w:color w:val="333333"/>
                <w:kern w:val="0"/>
                <w:sz w:val="24"/>
                <w:szCs w:val="24"/>
                <w:lang w:eastAsia="es-MX"/>
                <w14:ligatures w14:val="none"/>
              </w:rPr>
            </w:pPr>
          </w:p>
        </w:tc>
        <w:tc>
          <w:tcPr>
            <w:tcW w:w="895" w:type="pct"/>
            <w:tcBorders>
              <w:top w:val="nil"/>
              <w:left w:val="nil"/>
              <w:bottom w:val="nil"/>
              <w:right w:val="nil"/>
            </w:tcBorders>
            <w:tcMar>
              <w:top w:w="30" w:type="dxa"/>
              <w:left w:w="120" w:type="dxa"/>
              <w:bottom w:w="30" w:type="dxa"/>
              <w:right w:w="0" w:type="dxa"/>
            </w:tcMar>
            <w:vAlign w:val="center"/>
          </w:tcPr>
          <w:p w14:paraId="466D0A55" w14:textId="77777777" w:rsidR="0093626A" w:rsidRDefault="00000000" w:rsidP="005915A7">
            <w:pPr>
              <w:spacing w:after="0" w:line="360" w:lineRule="auto"/>
              <w:jc w:val="right"/>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0.935</w:t>
            </w:r>
          </w:p>
        </w:tc>
        <w:tc>
          <w:tcPr>
            <w:tcW w:w="342" w:type="pct"/>
            <w:tcBorders>
              <w:top w:val="nil"/>
              <w:left w:val="nil"/>
              <w:bottom w:val="nil"/>
              <w:right w:val="nil"/>
            </w:tcBorders>
            <w:tcMar>
              <w:top w:w="30" w:type="dxa"/>
              <w:left w:w="30" w:type="dxa"/>
              <w:bottom w:w="30" w:type="dxa"/>
              <w:right w:w="120" w:type="dxa"/>
            </w:tcMar>
            <w:vAlign w:val="center"/>
          </w:tcPr>
          <w:p w14:paraId="60323977" w14:textId="77777777" w:rsidR="0093626A" w:rsidRDefault="0093626A" w:rsidP="005915A7">
            <w:pPr>
              <w:spacing w:after="0" w:line="360" w:lineRule="auto"/>
              <w:jc w:val="right"/>
              <w:rPr>
                <w:rFonts w:ascii="Arial" w:eastAsia="Times New Roman" w:hAnsi="Arial" w:cs="Arial"/>
                <w:color w:val="333333"/>
                <w:kern w:val="0"/>
                <w:sz w:val="24"/>
                <w:szCs w:val="24"/>
                <w:lang w:eastAsia="es-MX"/>
                <w14:ligatures w14:val="none"/>
              </w:rPr>
            </w:pPr>
          </w:p>
        </w:tc>
      </w:tr>
      <w:tr w:rsidR="0093626A" w14:paraId="54371FC9" w14:textId="77777777">
        <w:trPr>
          <w:cantSplit/>
          <w:tblCellSpacing w:w="15" w:type="dxa"/>
        </w:trPr>
        <w:tc>
          <w:tcPr>
            <w:tcW w:w="746" w:type="pct"/>
            <w:tcBorders>
              <w:top w:val="nil"/>
              <w:left w:val="nil"/>
              <w:bottom w:val="nil"/>
              <w:right w:val="nil"/>
            </w:tcBorders>
            <w:tcMar>
              <w:top w:w="30" w:type="dxa"/>
              <w:left w:w="120" w:type="dxa"/>
              <w:bottom w:w="30" w:type="dxa"/>
              <w:right w:w="0" w:type="dxa"/>
            </w:tcMar>
            <w:vAlign w:val="center"/>
          </w:tcPr>
          <w:p w14:paraId="292B1040" w14:textId="77777777" w:rsidR="0093626A" w:rsidRDefault="00000000" w:rsidP="005915A7">
            <w:pPr>
              <w:spacing w:after="0" w:line="360" w:lineRule="auto"/>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I5</w:t>
            </w:r>
          </w:p>
        </w:tc>
        <w:tc>
          <w:tcPr>
            <w:tcW w:w="231" w:type="pct"/>
            <w:tcBorders>
              <w:top w:val="nil"/>
              <w:left w:val="nil"/>
              <w:bottom w:val="nil"/>
              <w:right w:val="nil"/>
            </w:tcBorders>
            <w:tcMar>
              <w:top w:w="30" w:type="dxa"/>
              <w:left w:w="30" w:type="dxa"/>
              <w:bottom w:w="30" w:type="dxa"/>
              <w:right w:w="120" w:type="dxa"/>
            </w:tcMar>
            <w:vAlign w:val="center"/>
          </w:tcPr>
          <w:p w14:paraId="741B3939" w14:textId="77777777" w:rsidR="0093626A" w:rsidRDefault="0093626A" w:rsidP="005915A7">
            <w:pPr>
              <w:spacing w:after="0" w:line="360" w:lineRule="auto"/>
              <w:rPr>
                <w:rFonts w:ascii="Arial" w:eastAsia="Times New Roman" w:hAnsi="Arial" w:cs="Arial"/>
                <w:color w:val="333333"/>
                <w:kern w:val="0"/>
                <w:sz w:val="24"/>
                <w:szCs w:val="24"/>
                <w:lang w:eastAsia="es-MX"/>
                <w14:ligatures w14:val="none"/>
              </w:rPr>
            </w:pPr>
          </w:p>
        </w:tc>
        <w:tc>
          <w:tcPr>
            <w:tcW w:w="875" w:type="pct"/>
            <w:tcBorders>
              <w:top w:val="nil"/>
              <w:left w:val="nil"/>
              <w:bottom w:val="nil"/>
              <w:right w:val="nil"/>
            </w:tcBorders>
            <w:tcMar>
              <w:top w:w="30" w:type="dxa"/>
              <w:left w:w="120" w:type="dxa"/>
              <w:bottom w:w="30" w:type="dxa"/>
              <w:right w:w="0" w:type="dxa"/>
            </w:tcMar>
            <w:vAlign w:val="center"/>
          </w:tcPr>
          <w:p w14:paraId="536F259C" w14:textId="77777777" w:rsidR="0093626A" w:rsidRDefault="00000000" w:rsidP="005915A7">
            <w:pPr>
              <w:spacing w:after="0" w:line="360" w:lineRule="auto"/>
              <w:jc w:val="right"/>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4.61</w:t>
            </w:r>
          </w:p>
        </w:tc>
        <w:tc>
          <w:tcPr>
            <w:tcW w:w="269" w:type="pct"/>
            <w:tcBorders>
              <w:top w:val="nil"/>
              <w:left w:val="nil"/>
              <w:bottom w:val="nil"/>
              <w:right w:val="nil"/>
            </w:tcBorders>
            <w:tcMar>
              <w:top w:w="30" w:type="dxa"/>
              <w:left w:w="30" w:type="dxa"/>
              <w:bottom w:w="30" w:type="dxa"/>
              <w:right w:w="120" w:type="dxa"/>
            </w:tcMar>
            <w:vAlign w:val="center"/>
          </w:tcPr>
          <w:p w14:paraId="6A02ACB5" w14:textId="77777777" w:rsidR="0093626A" w:rsidRDefault="0093626A" w:rsidP="005915A7">
            <w:pPr>
              <w:spacing w:after="0" w:line="360" w:lineRule="auto"/>
              <w:jc w:val="right"/>
              <w:rPr>
                <w:rFonts w:ascii="Arial" w:eastAsia="Times New Roman" w:hAnsi="Arial" w:cs="Arial"/>
                <w:color w:val="333333"/>
                <w:kern w:val="0"/>
                <w:sz w:val="24"/>
                <w:szCs w:val="24"/>
                <w:lang w:eastAsia="es-MX"/>
                <w14:ligatures w14:val="none"/>
              </w:rPr>
            </w:pPr>
          </w:p>
        </w:tc>
        <w:tc>
          <w:tcPr>
            <w:tcW w:w="900" w:type="pct"/>
            <w:tcBorders>
              <w:top w:val="nil"/>
              <w:left w:val="nil"/>
              <w:bottom w:val="nil"/>
              <w:right w:val="nil"/>
            </w:tcBorders>
            <w:tcMar>
              <w:top w:w="30" w:type="dxa"/>
              <w:left w:w="120" w:type="dxa"/>
              <w:bottom w:w="30" w:type="dxa"/>
              <w:right w:w="0" w:type="dxa"/>
            </w:tcMar>
            <w:vAlign w:val="center"/>
          </w:tcPr>
          <w:p w14:paraId="03A89032" w14:textId="77777777" w:rsidR="0093626A" w:rsidRDefault="00000000" w:rsidP="005915A7">
            <w:pPr>
              <w:spacing w:after="0" w:line="360" w:lineRule="auto"/>
              <w:jc w:val="right"/>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5</w:t>
            </w:r>
          </w:p>
        </w:tc>
        <w:tc>
          <w:tcPr>
            <w:tcW w:w="591" w:type="pct"/>
            <w:tcBorders>
              <w:top w:val="nil"/>
              <w:left w:val="nil"/>
              <w:bottom w:val="nil"/>
              <w:right w:val="nil"/>
            </w:tcBorders>
            <w:tcMar>
              <w:top w:w="30" w:type="dxa"/>
              <w:left w:w="30" w:type="dxa"/>
              <w:bottom w:w="30" w:type="dxa"/>
              <w:right w:w="120" w:type="dxa"/>
            </w:tcMar>
            <w:vAlign w:val="center"/>
          </w:tcPr>
          <w:p w14:paraId="74B08BFA" w14:textId="77777777" w:rsidR="0093626A" w:rsidRDefault="0093626A" w:rsidP="005915A7">
            <w:pPr>
              <w:spacing w:after="0" w:line="360" w:lineRule="auto"/>
              <w:jc w:val="right"/>
              <w:rPr>
                <w:rFonts w:ascii="Arial" w:eastAsia="Times New Roman" w:hAnsi="Arial" w:cs="Arial"/>
                <w:color w:val="333333"/>
                <w:kern w:val="0"/>
                <w:sz w:val="24"/>
                <w:szCs w:val="24"/>
                <w:lang w:eastAsia="es-MX"/>
                <w14:ligatures w14:val="none"/>
              </w:rPr>
            </w:pPr>
          </w:p>
        </w:tc>
        <w:tc>
          <w:tcPr>
            <w:tcW w:w="895" w:type="pct"/>
            <w:tcBorders>
              <w:top w:val="nil"/>
              <w:left w:val="nil"/>
              <w:bottom w:val="nil"/>
              <w:right w:val="nil"/>
            </w:tcBorders>
            <w:tcMar>
              <w:top w:w="30" w:type="dxa"/>
              <w:left w:w="120" w:type="dxa"/>
              <w:bottom w:w="30" w:type="dxa"/>
              <w:right w:w="0" w:type="dxa"/>
            </w:tcMar>
            <w:vAlign w:val="center"/>
          </w:tcPr>
          <w:p w14:paraId="33F6F067" w14:textId="77777777" w:rsidR="0093626A" w:rsidRDefault="00000000" w:rsidP="005915A7">
            <w:pPr>
              <w:spacing w:after="0" w:line="360" w:lineRule="auto"/>
              <w:jc w:val="right"/>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0.812</w:t>
            </w:r>
          </w:p>
        </w:tc>
        <w:tc>
          <w:tcPr>
            <w:tcW w:w="342" w:type="pct"/>
            <w:tcBorders>
              <w:top w:val="nil"/>
              <w:left w:val="nil"/>
              <w:bottom w:val="nil"/>
              <w:right w:val="nil"/>
            </w:tcBorders>
            <w:tcMar>
              <w:top w:w="30" w:type="dxa"/>
              <w:left w:w="30" w:type="dxa"/>
              <w:bottom w:w="30" w:type="dxa"/>
              <w:right w:w="120" w:type="dxa"/>
            </w:tcMar>
            <w:vAlign w:val="center"/>
          </w:tcPr>
          <w:p w14:paraId="23717F8E" w14:textId="77777777" w:rsidR="0093626A" w:rsidRDefault="0093626A" w:rsidP="005915A7">
            <w:pPr>
              <w:spacing w:after="0" w:line="360" w:lineRule="auto"/>
              <w:jc w:val="right"/>
              <w:rPr>
                <w:rFonts w:ascii="Arial" w:eastAsia="Times New Roman" w:hAnsi="Arial" w:cs="Arial"/>
                <w:color w:val="333333"/>
                <w:kern w:val="0"/>
                <w:sz w:val="24"/>
                <w:szCs w:val="24"/>
                <w:lang w:eastAsia="es-MX"/>
                <w14:ligatures w14:val="none"/>
              </w:rPr>
            </w:pPr>
          </w:p>
        </w:tc>
      </w:tr>
      <w:tr w:rsidR="0093626A" w14:paraId="299D31A1" w14:textId="77777777">
        <w:trPr>
          <w:cantSplit/>
          <w:tblCellSpacing w:w="15" w:type="dxa"/>
        </w:trPr>
        <w:tc>
          <w:tcPr>
            <w:tcW w:w="746" w:type="pct"/>
            <w:tcBorders>
              <w:top w:val="nil"/>
              <w:left w:val="nil"/>
              <w:bottom w:val="nil"/>
              <w:right w:val="nil"/>
            </w:tcBorders>
            <w:tcMar>
              <w:top w:w="30" w:type="dxa"/>
              <w:left w:w="120" w:type="dxa"/>
              <w:bottom w:w="30" w:type="dxa"/>
              <w:right w:w="0" w:type="dxa"/>
            </w:tcMar>
            <w:vAlign w:val="center"/>
          </w:tcPr>
          <w:p w14:paraId="61CB3A82" w14:textId="77777777" w:rsidR="0093626A" w:rsidRDefault="00000000" w:rsidP="005915A7">
            <w:pPr>
              <w:spacing w:after="0" w:line="360" w:lineRule="auto"/>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I6</w:t>
            </w:r>
          </w:p>
        </w:tc>
        <w:tc>
          <w:tcPr>
            <w:tcW w:w="231" w:type="pct"/>
            <w:tcBorders>
              <w:top w:val="nil"/>
              <w:left w:val="nil"/>
              <w:bottom w:val="nil"/>
              <w:right w:val="nil"/>
            </w:tcBorders>
            <w:tcMar>
              <w:top w:w="30" w:type="dxa"/>
              <w:left w:w="30" w:type="dxa"/>
              <w:bottom w:w="30" w:type="dxa"/>
              <w:right w:w="120" w:type="dxa"/>
            </w:tcMar>
            <w:vAlign w:val="center"/>
          </w:tcPr>
          <w:p w14:paraId="4C907AEC" w14:textId="77777777" w:rsidR="0093626A" w:rsidRDefault="0093626A" w:rsidP="005915A7">
            <w:pPr>
              <w:spacing w:after="0" w:line="360" w:lineRule="auto"/>
              <w:rPr>
                <w:rFonts w:ascii="Arial" w:eastAsia="Times New Roman" w:hAnsi="Arial" w:cs="Arial"/>
                <w:color w:val="333333"/>
                <w:kern w:val="0"/>
                <w:sz w:val="24"/>
                <w:szCs w:val="24"/>
                <w:lang w:eastAsia="es-MX"/>
                <w14:ligatures w14:val="none"/>
              </w:rPr>
            </w:pPr>
          </w:p>
        </w:tc>
        <w:tc>
          <w:tcPr>
            <w:tcW w:w="875" w:type="pct"/>
            <w:tcBorders>
              <w:top w:val="nil"/>
              <w:left w:val="nil"/>
              <w:bottom w:val="nil"/>
              <w:right w:val="nil"/>
            </w:tcBorders>
            <w:tcMar>
              <w:top w:w="30" w:type="dxa"/>
              <w:left w:w="120" w:type="dxa"/>
              <w:bottom w:w="30" w:type="dxa"/>
              <w:right w:w="0" w:type="dxa"/>
            </w:tcMar>
            <w:vAlign w:val="center"/>
          </w:tcPr>
          <w:p w14:paraId="5DC88693" w14:textId="77777777" w:rsidR="0093626A" w:rsidRDefault="00000000" w:rsidP="005915A7">
            <w:pPr>
              <w:spacing w:after="0" w:line="360" w:lineRule="auto"/>
              <w:jc w:val="right"/>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3.99</w:t>
            </w:r>
          </w:p>
        </w:tc>
        <w:tc>
          <w:tcPr>
            <w:tcW w:w="269" w:type="pct"/>
            <w:tcBorders>
              <w:top w:val="nil"/>
              <w:left w:val="nil"/>
              <w:bottom w:val="nil"/>
              <w:right w:val="nil"/>
            </w:tcBorders>
            <w:tcMar>
              <w:top w:w="30" w:type="dxa"/>
              <w:left w:w="30" w:type="dxa"/>
              <w:bottom w:w="30" w:type="dxa"/>
              <w:right w:w="120" w:type="dxa"/>
            </w:tcMar>
            <w:vAlign w:val="center"/>
          </w:tcPr>
          <w:p w14:paraId="70DFA33F" w14:textId="77777777" w:rsidR="0093626A" w:rsidRDefault="0093626A" w:rsidP="005915A7">
            <w:pPr>
              <w:spacing w:after="0" w:line="360" w:lineRule="auto"/>
              <w:jc w:val="right"/>
              <w:rPr>
                <w:rFonts w:ascii="Arial" w:eastAsia="Times New Roman" w:hAnsi="Arial" w:cs="Arial"/>
                <w:color w:val="333333"/>
                <w:kern w:val="0"/>
                <w:sz w:val="24"/>
                <w:szCs w:val="24"/>
                <w:lang w:eastAsia="es-MX"/>
                <w14:ligatures w14:val="none"/>
              </w:rPr>
            </w:pPr>
          </w:p>
        </w:tc>
        <w:tc>
          <w:tcPr>
            <w:tcW w:w="900" w:type="pct"/>
            <w:tcBorders>
              <w:top w:val="nil"/>
              <w:left w:val="nil"/>
              <w:bottom w:val="nil"/>
              <w:right w:val="nil"/>
            </w:tcBorders>
            <w:tcMar>
              <w:top w:w="30" w:type="dxa"/>
              <w:left w:w="120" w:type="dxa"/>
              <w:bottom w:w="30" w:type="dxa"/>
              <w:right w:w="0" w:type="dxa"/>
            </w:tcMar>
            <w:vAlign w:val="center"/>
          </w:tcPr>
          <w:p w14:paraId="4E868CAA" w14:textId="77777777" w:rsidR="0093626A" w:rsidRDefault="00000000" w:rsidP="005915A7">
            <w:pPr>
              <w:spacing w:after="0" w:line="360" w:lineRule="auto"/>
              <w:jc w:val="right"/>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4</w:t>
            </w:r>
          </w:p>
        </w:tc>
        <w:tc>
          <w:tcPr>
            <w:tcW w:w="591" w:type="pct"/>
            <w:tcBorders>
              <w:top w:val="nil"/>
              <w:left w:val="nil"/>
              <w:bottom w:val="nil"/>
              <w:right w:val="nil"/>
            </w:tcBorders>
            <w:tcMar>
              <w:top w:w="30" w:type="dxa"/>
              <w:left w:w="30" w:type="dxa"/>
              <w:bottom w:w="30" w:type="dxa"/>
              <w:right w:w="120" w:type="dxa"/>
            </w:tcMar>
            <w:vAlign w:val="center"/>
          </w:tcPr>
          <w:p w14:paraId="1ACF3B70" w14:textId="77777777" w:rsidR="0093626A" w:rsidRDefault="0093626A" w:rsidP="005915A7">
            <w:pPr>
              <w:spacing w:after="0" w:line="360" w:lineRule="auto"/>
              <w:jc w:val="right"/>
              <w:rPr>
                <w:rFonts w:ascii="Arial" w:eastAsia="Times New Roman" w:hAnsi="Arial" w:cs="Arial"/>
                <w:color w:val="333333"/>
                <w:kern w:val="0"/>
                <w:sz w:val="24"/>
                <w:szCs w:val="24"/>
                <w:lang w:eastAsia="es-MX"/>
                <w14:ligatures w14:val="none"/>
              </w:rPr>
            </w:pPr>
          </w:p>
        </w:tc>
        <w:tc>
          <w:tcPr>
            <w:tcW w:w="895" w:type="pct"/>
            <w:tcBorders>
              <w:top w:val="nil"/>
              <w:left w:val="nil"/>
              <w:bottom w:val="nil"/>
              <w:right w:val="nil"/>
            </w:tcBorders>
            <w:tcMar>
              <w:top w:w="30" w:type="dxa"/>
              <w:left w:w="120" w:type="dxa"/>
              <w:bottom w:w="30" w:type="dxa"/>
              <w:right w:w="0" w:type="dxa"/>
            </w:tcMar>
            <w:vAlign w:val="center"/>
          </w:tcPr>
          <w:p w14:paraId="1B27FDD3" w14:textId="77777777" w:rsidR="0093626A" w:rsidRDefault="00000000" w:rsidP="005915A7">
            <w:pPr>
              <w:spacing w:after="0" w:line="360" w:lineRule="auto"/>
              <w:jc w:val="right"/>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1.103</w:t>
            </w:r>
          </w:p>
        </w:tc>
        <w:tc>
          <w:tcPr>
            <w:tcW w:w="342" w:type="pct"/>
            <w:tcBorders>
              <w:top w:val="nil"/>
              <w:left w:val="nil"/>
              <w:bottom w:val="nil"/>
              <w:right w:val="nil"/>
            </w:tcBorders>
            <w:tcMar>
              <w:top w:w="30" w:type="dxa"/>
              <w:left w:w="30" w:type="dxa"/>
              <w:bottom w:w="30" w:type="dxa"/>
              <w:right w:w="120" w:type="dxa"/>
            </w:tcMar>
            <w:vAlign w:val="center"/>
          </w:tcPr>
          <w:p w14:paraId="68413BBA" w14:textId="77777777" w:rsidR="0093626A" w:rsidRDefault="0093626A" w:rsidP="005915A7">
            <w:pPr>
              <w:spacing w:after="0" w:line="360" w:lineRule="auto"/>
              <w:jc w:val="right"/>
              <w:rPr>
                <w:rFonts w:ascii="Arial" w:eastAsia="Times New Roman" w:hAnsi="Arial" w:cs="Arial"/>
                <w:color w:val="333333"/>
                <w:kern w:val="0"/>
                <w:sz w:val="24"/>
                <w:szCs w:val="24"/>
                <w:lang w:eastAsia="es-MX"/>
                <w14:ligatures w14:val="none"/>
              </w:rPr>
            </w:pPr>
          </w:p>
        </w:tc>
      </w:tr>
      <w:tr w:rsidR="0093626A" w14:paraId="76B7A66B" w14:textId="77777777">
        <w:trPr>
          <w:cantSplit/>
          <w:tblCellSpacing w:w="15" w:type="dxa"/>
        </w:trPr>
        <w:tc>
          <w:tcPr>
            <w:tcW w:w="746" w:type="pct"/>
            <w:tcBorders>
              <w:top w:val="nil"/>
              <w:left w:val="nil"/>
              <w:bottom w:val="single" w:sz="4" w:space="0" w:color="auto"/>
              <w:right w:val="nil"/>
            </w:tcBorders>
            <w:tcMar>
              <w:top w:w="30" w:type="dxa"/>
              <w:left w:w="120" w:type="dxa"/>
              <w:bottom w:w="120" w:type="dxa"/>
              <w:right w:w="0" w:type="dxa"/>
            </w:tcMar>
            <w:vAlign w:val="center"/>
          </w:tcPr>
          <w:p w14:paraId="0E85A5EA" w14:textId="77777777" w:rsidR="0093626A" w:rsidRDefault="00000000" w:rsidP="005915A7">
            <w:pPr>
              <w:spacing w:after="0" w:line="360" w:lineRule="auto"/>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I7</w:t>
            </w:r>
          </w:p>
        </w:tc>
        <w:tc>
          <w:tcPr>
            <w:tcW w:w="231" w:type="pct"/>
            <w:tcBorders>
              <w:top w:val="nil"/>
              <w:left w:val="nil"/>
              <w:bottom w:val="single" w:sz="4" w:space="0" w:color="auto"/>
              <w:right w:val="nil"/>
            </w:tcBorders>
            <w:tcMar>
              <w:top w:w="30" w:type="dxa"/>
              <w:left w:w="30" w:type="dxa"/>
              <w:bottom w:w="120" w:type="dxa"/>
              <w:right w:w="120" w:type="dxa"/>
            </w:tcMar>
            <w:vAlign w:val="center"/>
          </w:tcPr>
          <w:p w14:paraId="383AACDE" w14:textId="77777777" w:rsidR="0093626A" w:rsidRDefault="0093626A" w:rsidP="005915A7">
            <w:pPr>
              <w:spacing w:after="0" w:line="360" w:lineRule="auto"/>
              <w:rPr>
                <w:rFonts w:ascii="Arial" w:eastAsia="Times New Roman" w:hAnsi="Arial" w:cs="Arial"/>
                <w:color w:val="333333"/>
                <w:kern w:val="0"/>
                <w:sz w:val="24"/>
                <w:szCs w:val="24"/>
                <w:lang w:eastAsia="es-MX"/>
                <w14:ligatures w14:val="none"/>
              </w:rPr>
            </w:pPr>
          </w:p>
        </w:tc>
        <w:tc>
          <w:tcPr>
            <w:tcW w:w="875" w:type="pct"/>
            <w:tcBorders>
              <w:top w:val="nil"/>
              <w:left w:val="nil"/>
              <w:bottom w:val="single" w:sz="4" w:space="0" w:color="auto"/>
              <w:right w:val="nil"/>
            </w:tcBorders>
            <w:tcMar>
              <w:top w:w="30" w:type="dxa"/>
              <w:left w:w="120" w:type="dxa"/>
              <w:bottom w:w="120" w:type="dxa"/>
              <w:right w:w="0" w:type="dxa"/>
            </w:tcMar>
            <w:vAlign w:val="center"/>
          </w:tcPr>
          <w:p w14:paraId="3E069697" w14:textId="77777777" w:rsidR="0093626A" w:rsidRDefault="00000000" w:rsidP="005915A7">
            <w:pPr>
              <w:spacing w:after="0" w:line="360" w:lineRule="auto"/>
              <w:jc w:val="right"/>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4.15</w:t>
            </w:r>
          </w:p>
        </w:tc>
        <w:tc>
          <w:tcPr>
            <w:tcW w:w="269" w:type="pct"/>
            <w:tcBorders>
              <w:top w:val="nil"/>
              <w:left w:val="nil"/>
              <w:bottom w:val="single" w:sz="4" w:space="0" w:color="auto"/>
              <w:right w:val="nil"/>
            </w:tcBorders>
            <w:tcMar>
              <w:top w:w="30" w:type="dxa"/>
              <w:left w:w="30" w:type="dxa"/>
              <w:bottom w:w="120" w:type="dxa"/>
              <w:right w:w="120" w:type="dxa"/>
            </w:tcMar>
            <w:vAlign w:val="center"/>
          </w:tcPr>
          <w:p w14:paraId="1DCC05CF" w14:textId="77777777" w:rsidR="0093626A" w:rsidRDefault="0093626A" w:rsidP="005915A7">
            <w:pPr>
              <w:spacing w:after="0" w:line="360" w:lineRule="auto"/>
              <w:jc w:val="right"/>
              <w:rPr>
                <w:rFonts w:ascii="Arial" w:eastAsia="Times New Roman" w:hAnsi="Arial" w:cs="Arial"/>
                <w:color w:val="333333"/>
                <w:kern w:val="0"/>
                <w:sz w:val="24"/>
                <w:szCs w:val="24"/>
                <w:lang w:eastAsia="es-MX"/>
                <w14:ligatures w14:val="none"/>
              </w:rPr>
            </w:pPr>
          </w:p>
        </w:tc>
        <w:tc>
          <w:tcPr>
            <w:tcW w:w="900" w:type="pct"/>
            <w:tcBorders>
              <w:top w:val="nil"/>
              <w:left w:val="nil"/>
              <w:bottom w:val="single" w:sz="4" w:space="0" w:color="auto"/>
              <w:right w:val="nil"/>
            </w:tcBorders>
            <w:tcMar>
              <w:top w:w="30" w:type="dxa"/>
              <w:left w:w="120" w:type="dxa"/>
              <w:bottom w:w="120" w:type="dxa"/>
              <w:right w:w="0" w:type="dxa"/>
            </w:tcMar>
            <w:vAlign w:val="center"/>
          </w:tcPr>
          <w:p w14:paraId="37079FB4" w14:textId="77777777" w:rsidR="0093626A" w:rsidRDefault="00000000" w:rsidP="005915A7">
            <w:pPr>
              <w:spacing w:after="0" w:line="360" w:lineRule="auto"/>
              <w:jc w:val="right"/>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4</w:t>
            </w:r>
          </w:p>
        </w:tc>
        <w:tc>
          <w:tcPr>
            <w:tcW w:w="591" w:type="pct"/>
            <w:tcBorders>
              <w:top w:val="nil"/>
              <w:left w:val="nil"/>
              <w:bottom w:val="single" w:sz="4" w:space="0" w:color="auto"/>
              <w:right w:val="nil"/>
            </w:tcBorders>
            <w:tcMar>
              <w:top w:w="30" w:type="dxa"/>
              <w:left w:w="30" w:type="dxa"/>
              <w:bottom w:w="120" w:type="dxa"/>
              <w:right w:w="120" w:type="dxa"/>
            </w:tcMar>
            <w:vAlign w:val="center"/>
          </w:tcPr>
          <w:p w14:paraId="3A869D80" w14:textId="77777777" w:rsidR="0093626A" w:rsidRDefault="0093626A" w:rsidP="005915A7">
            <w:pPr>
              <w:spacing w:after="0" w:line="360" w:lineRule="auto"/>
              <w:jc w:val="right"/>
              <w:rPr>
                <w:rFonts w:ascii="Arial" w:eastAsia="Times New Roman" w:hAnsi="Arial" w:cs="Arial"/>
                <w:color w:val="333333"/>
                <w:kern w:val="0"/>
                <w:sz w:val="24"/>
                <w:szCs w:val="24"/>
                <w:lang w:eastAsia="es-MX"/>
                <w14:ligatures w14:val="none"/>
              </w:rPr>
            </w:pPr>
          </w:p>
        </w:tc>
        <w:tc>
          <w:tcPr>
            <w:tcW w:w="895" w:type="pct"/>
            <w:tcBorders>
              <w:top w:val="nil"/>
              <w:left w:val="nil"/>
              <w:bottom w:val="single" w:sz="4" w:space="0" w:color="auto"/>
              <w:right w:val="nil"/>
            </w:tcBorders>
            <w:tcMar>
              <w:top w:w="30" w:type="dxa"/>
              <w:left w:w="120" w:type="dxa"/>
              <w:bottom w:w="120" w:type="dxa"/>
              <w:right w:w="0" w:type="dxa"/>
            </w:tcMar>
            <w:vAlign w:val="center"/>
          </w:tcPr>
          <w:p w14:paraId="5954FA8F" w14:textId="77777777" w:rsidR="0093626A" w:rsidRDefault="00000000" w:rsidP="005915A7">
            <w:pPr>
              <w:spacing w:after="0" w:line="360" w:lineRule="auto"/>
              <w:jc w:val="right"/>
              <w:rPr>
                <w:rFonts w:ascii="Arial" w:eastAsia="Times New Roman" w:hAnsi="Arial" w:cs="Arial"/>
                <w:color w:val="333333"/>
                <w:kern w:val="0"/>
                <w:sz w:val="24"/>
                <w:szCs w:val="24"/>
                <w:lang w:eastAsia="es-MX"/>
                <w14:ligatures w14:val="none"/>
              </w:rPr>
            </w:pPr>
            <w:r>
              <w:rPr>
                <w:rFonts w:ascii="Arial" w:eastAsia="Times New Roman" w:hAnsi="Arial" w:cs="Arial"/>
                <w:color w:val="333333"/>
                <w:kern w:val="0"/>
                <w:sz w:val="24"/>
                <w:szCs w:val="24"/>
                <w:lang w:eastAsia="es-MX"/>
                <w14:ligatures w14:val="none"/>
              </w:rPr>
              <w:t>1.008</w:t>
            </w:r>
          </w:p>
        </w:tc>
        <w:tc>
          <w:tcPr>
            <w:tcW w:w="342" w:type="pct"/>
            <w:tcBorders>
              <w:top w:val="nil"/>
              <w:left w:val="nil"/>
              <w:bottom w:val="single" w:sz="4" w:space="0" w:color="auto"/>
              <w:right w:val="nil"/>
            </w:tcBorders>
            <w:tcMar>
              <w:top w:w="30" w:type="dxa"/>
              <w:left w:w="30" w:type="dxa"/>
              <w:bottom w:w="120" w:type="dxa"/>
              <w:right w:w="120" w:type="dxa"/>
            </w:tcMar>
            <w:vAlign w:val="center"/>
          </w:tcPr>
          <w:p w14:paraId="2C1D2F98" w14:textId="77777777" w:rsidR="0093626A" w:rsidRDefault="0093626A" w:rsidP="005915A7">
            <w:pPr>
              <w:spacing w:after="0" w:line="360" w:lineRule="auto"/>
              <w:jc w:val="right"/>
              <w:rPr>
                <w:rFonts w:ascii="Arial" w:eastAsia="Times New Roman" w:hAnsi="Arial" w:cs="Arial"/>
                <w:color w:val="333333"/>
                <w:kern w:val="0"/>
                <w:sz w:val="24"/>
                <w:szCs w:val="24"/>
                <w:lang w:eastAsia="es-MX"/>
                <w14:ligatures w14:val="none"/>
              </w:rPr>
            </w:pPr>
          </w:p>
        </w:tc>
      </w:tr>
      <w:tr w:rsidR="0093626A" w14:paraId="6821B78C" w14:textId="77777777">
        <w:trPr>
          <w:cantSplit/>
          <w:tblCellSpacing w:w="15" w:type="dxa"/>
        </w:trPr>
        <w:tc>
          <w:tcPr>
            <w:tcW w:w="4966" w:type="pct"/>
            <w:gridSpan w:val="8"/>
            <w:tcBorders>
              <w:top w:val="nil"/>
              <w:left w:val="nil"/>
              <w:bottom w:val="nil"/>
              <w:right w:val="nil"/>
            </w:tcBorders>
            <w:tcMar>
              <w:top w:w="90" w:type="dxa"/>
              <w:left w:w="120" w:type="dxa"/>
              <w:bottom w:w="30" w:type="dxa"/>
              <w:right w:w="120" w:type="dxa"/>
            </w:tcMar>
            <w:vAlign w:val="center"/>
          </w:tcPr>
          <w:p w14:paraId="7E784CA8" w14:textId="45FBF79C" w:rsidR="0093626A" w:rsidRPr="00634580" w:rsidRDefault="00000000" w:rsidP="005915A7">
            <w:pPr>
              <w:spacing w:after="0" w:line="360" w:lineRule="auto"/>
              <w:rPr>
                <w:rFonts w:ascii="Arial" w:eastAsia="Times New Roman" w:hAnsi="Arial" w:cs="Arial"/>
                <w:kern w:val="0"/>
                <w:sz w:val="20"/>
                <w:szCs w:val="20"/>
                <w:lang w:val="en-US" w:eastAsia="es-MX"/>
                <w14:ligatures w14:val="none"/>
              </w:rPr>
            </w:pPr>
            <w:r w:rsidRPr="00634580">
              <w:rPr>
                <w:rFonts w:ascii="Arial" w:eastAsia="Times New Roman" w:hAnsi="Arial" w:cs="Arial"/>
                <w:kern w:val="0"/>
                <w:sz w:val="20"/>
                <w:szCs w:val="20"/>
                <w:lang w:val="en-US" w:eastAsia="es-MX"/>
                <w14:ligatures w14:val="none"/>
              </w:rPr>
              <w:t>Fuente: Elaboración propia</w:t>
            </w:r>
            <w:r w:rsidR="0028464D" w:rsidRPr="00634580">
              <w:rPr>
                <w:rFonts w:ascii="Arial" w:eastAsia="Times New Roman" w:hAnsi="Arial" w:cs="Arial"/>
                <w:kern w:val="0"/>
                <w:sz w:val="20"/>
                <w:szCs w:val="20"/>
                <w:lang w:val="en-US" w:eastAsia="es-MX"/>
                <w14:ligatures w14:val="none"/>
              </w:rPr>
              <w:t>.</w:t>
            </w:r>
          </w:p>
        </w:tc>
      </w:tr>
    </w:tbl>
    <w:p w14:paraId="708B7310" w14:textId="77777777" w:rsidR="0093626A" w:rsidRDefault="0093626A" w:rsidP="005915A7">
      <w:pPr>
        <w:spacing w:after="0" w:line="360" w:lineRule="auto"/>
        <w:jc w:val="both"/>
        <w:rPr>
          <w:rFonts w:ascii="Arial" w:eastAsiaTheme="minorEastAsia" w:hAnsi="Arial" w:cs="Arial"/>
          <w:sz w:val="24"/>
          <w:szCs w:val="24"/>
        </w:rPr>
      </w:pPr>
    </w:p>
    <w:p w14:paraId="30CA1AA9" w14:textId="77777777" w:rsidR="0093626A" w:rsidRDefault="00000000" w:rsidP="00634580">
      <w:pPr>
        <w:spacing w:after="0" w:line="360" w:lineRule="auto"/>
        <w:ind w:firstLine="708"/>
        <w:jc w:val="both"/>
        <w:rPr>
          <w:rFonts w:ascii="Arial" w:eastAsiaTheme="minorEastAsia" w:hAnsi="Arial" w:cs="Arial"/>
          <w:sz w:val="24"/>
          <w:szCs w:val="24"/>
        </w:rPr>
      </w:pPr>
      <w:r>
        <w:rPr>
          <w:rFonts w:ascii="Arial" w:eastAsiaTheme="minorEastAsia" w:hAnsi="Arial" w:cs="Arial"/>
          <w:sz w:val="24"/>
          <w:szCs w:val="24"/>
        </w:rPr>
        <w:t>En cuento al cálculo de los indicadores, si bien no todos resultaron como se esperaba, por encima de 0.90, se pudieron designar como buenos en su mayoría. Por lo tanto, los indicadores se mantienen dentro de los límites aceptables; sin embargo, en el caso del RMSEA este se encuentra en los límites de aceptación, de acuerdo a Padilla-Bautista et al. (2021) esto implicaría que el modelo no se puede generalizar a la población.</w:t>
      </w:r>
    </w:p>
    <w:p w14:paraId="546D83F5" w14:textId="77777777" w:rsidR="0093626A" w:rsidRDefault="0093626A" w:rsidP="005915A7">
      <w:pPr>
        <w:spacing w:after="0" w:line="360" w:lineRule="auto"/>
        <w:jc w:val="both"/>
        <w:rPr>
          <w:rFonts w:ascii="Arial" w:hAnsi="Arial" w:cs="Arial"/>
          <w:sz w:val="24"/>
          <w:szCs w:val="24"/>
        </w:rPr>
      </w:pPr>
    </w:p>
    <w:p w14:paraId="086C418C" w14:textId="77777777" w:rsidR="0093626A" w:rsidRDefault="00000000" w:rsidP="005915A7">
      <w:pPr>
        <w:spacing w:after="0" w:line="360" w:lineRule="auto"/>
        <w:jc w:val="both"/>
        <w:rPr>
          <w:rFonts w:ascii="Arial" w:hAnsi="Arial" w:cs="Arial"/>
          <w:sz w:val="24"/>
          <w:szCs w:val="24"/>
        </w:rPr>
      </w:pPr>
      <w:r>
        <w:rPr>
          <w:rFonts w:ascii="Arial" w:hAnsi="Arial" w:cs="Arial"/>
          <w:sz w:val="24"/>
          <w:szCs w:val="24"/>
        </w:rPr>
        <w:t>Tabla 6. Indicadores de bondad de ajuste</w:t>
      </w:r>
    </w:p>
    <w:tbl>
      <w:tblPr>
        <w:tblW w:w="5000" w:type="pct"/>
        <w:jc w:val="center"/>
        <w:tblCellMar>
          <w:left w:w="70" w:type="dxa"/>
          <w:right w:w="70" w:type="dxa"/>
        </w:tblCellMar>
        <w:tblLook w:val="04A0" w:firstRow="1" w:lastRow="0" w:firstColumn="1" w:lastColumn="0" w:noHBand="0" w:noVBand="1"/>
      </w:tblPr>
      <w:tblGrid>
        <w:gridCol w:w="4898"/>
        <w:gridCol w:w="1971"/>
        <w:gridCol w:w="1969"/>
      </w:tblGrid>
      <w:tr w:rsidR="0093626A" w14:paraId="0D294DAF" w14:textId="77777777">
        <w:trPr>
          <w:cantSplit/>
          <w:trHeight w:val="315"/>
          <w:jc w:val="center"/>
        </w:trPr>
        <w:tc>
          <w:tcPr>
            <w:tcW w:w="2771" w:type="pct"/>
            <w:tcBorders>
              <w:top w:val="single" w:sz="4" w:space="0" w:color="auto"/>
              <w:bottom w:val="single" w:sz="4" w:space="0" w:color="auto"/>
            </w:tcBorders>
            <w:noWrap/>
            <w:vAlign w:val="center"/>
          </w:tcPr>
          <w:p w14:paraId="3C1B4EC8" w14:textId="77777777" w:rsidR="0093626A" w:rsidRDefault="00000000" w:rsidP="005915A7">
            <w:pPr>
              <w:spacing w:after="0" w:line="360" w:lineRule="auto"/>
              <w:jc w:val="center"/>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Índice</w:t>
            </w:r>
          </w:p>
        </w:tc>
        <w:tc>
          <w:tcPr>
            <w:tcW w:w="1115" w:type="pct"/>
            <w:tcBorders>
              <w:top w:val="single" w:sz="4" w:space="0" w:color="auto"/>
              <w:bottom w:val="single" w:sz="4" w:space="0" w:color="auto"/>
            </w:tcBorders>
          </w:tcPr>
          <w:p w14:paraId="7EAA2DF6" w14:textId="77777777" w:rsidR="0093626A" w:rsidRDefault="00000000" w:rsidP="005915A7">
            <w:pPr>
              <w:spacing w:after="0" w:line="360" w:lineRule="auto"/>
              <w:jc w:val="center"/>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Valor obtenido</w:t>
            </w:r>
          </w:p>
        </w:tc>
        <w:tc>
          <w:tcPr>
            <w:tcW w:w="1114" w:type="pct"/>
            <w:tcBorders>
              <w:top w:val="single" w:sz="4" w:space="0" w:color="auto"/>
              <w:bottom w:val="single" w:sz="4" w:space="0" w:color="auto"/>
            </w:tcBorders>
          </w:tcPr>
          <w:p w14:paraId="61B2385E" w14:textId="77777777" w:rsidR="0093626A" w:rsidRDefault="00000000" w:rsidP="005915A7">
            <w:pPr>
              <w:spacing w:after="0" w:line="360" w:lineRule="auto"/>
              <w:jc w:val="center"/>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Valoración</w:t>
            </w:r>
          </w:p>
        </w:tc>
      </w:tr>
      <w:tr w:rsidR="0093626A" w14:paraId="28DECF4B" w14:textId="77777777">
        <w:trPr>
          <w:trHeight w:val="315"/>
          <w:jc w:val="center"/>
        </w:trPr>
        <w:tc>
          <w:tcPr>
            <w:tcW w:w="2771" w:type="pct"/>
            <w:tcBorders>
              <w:top w:val="single" w:sz="4" w:space="0" w:color="auto"/>
            </w:tcBorders>
            <w:noWrap/>
          </w:tcPr>
          <w:p w14:paraId="0495FCC2" w14:textId="77777777" w:rsidR="0093626A" w:rsidRDefault="00000000" w:rsidP="005915A7">
            <w:pPr>
              <w:spacing w:after="0" w:line="360" w:lineRule="auto"/>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X</w:t>
            </w:r>
            <w:r>
              <w:rPr>
                <w:rFonts w:ascii="Arial" w:eastAsia="Times New Roman" w:hAnsi="Arial" w:cs="Arial"/>
                <w:color w:val="000000"/>
                <w:kern w:val="0"/>
                <w:sz w:val="24"/>
                <w:szCs w:val="24"/>
                <w:vertAlign w:val="superscript"/>
                <w:lang w:eastAsia="es-MX"/>
                <w14:ligatures w14:val="none"/>
              </w:rPr>
              <w:t>2</w:t>
            </w:r>
          </w:p>
        </w:tc>
        <w:tc>
          <w:tcPr>
            <w:tcW w:w="1115" w:type="pct"/>
            <w:tcBorders>
              <w:top w:val="single" w:sz="4" w:space="0" w:color="auto"/>
            </w:tcBorders>
          </w:tcPr>
          <w:p w14:paraId="090E4B36" w14:textId="77777777" w:rsidR="0093626A" w:rsidRDefault="00000000" w:rsidP="005915A7">
            <w:pPr>
              <w:spacing w:after="0" w:line="360" w:lineRule="auto"/>
              <w:jc w:val="right"/>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386.53</w:t>
            </w:r>
          </w:p>
        </w:tc>
        <w:tc>
          <w:tcPr>
            <w:tcW w:w="1114" w:type="pct"/>
            <w:tcBorders>
              <w:top w:val="single" w:sz="4" w:space="0" w:color="auto"/>
            </w:tcBorders>
          </w:tcPr>
          <w:p w14:paraId="04681AF5" w14:textId="77777777" w:rsidR="0093626A" w:rsidRDefault="00000000" w:rsidP="005915A7">
            <w:pPr>
              <w:spacing w:after="0" w:line="360" w:lineRule="auto"/>
              <w:jc w:val="right"/>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Bueno</w:t>
            </w:r>
          </w:p>
        </w:tc>
      </w:tr>
      <w:tr w:rsidR="0093626A" w14:paraId="6F47BB2C" w14:textId="77777777">
        <w:trPr>
          <w:trHeight w:val="315"/>
          <w:jc w:val="center"/>
        </w:trPr>
        <w:tc>
          <w:tcPr>
            <w:tcW w:w="2771" w:type="pct"/>
            <w:noWrap/>
          </w:tcPr>
          <w:p w14:paraId="06C3431F" w14:textId="77777777" w:rsidR="0093626A" w:rsidRDefault="00000000" w:rsidP="005915A7">
            <w:pPr>
              <w:spacing w:after="0" w:line="360" w:lineRule="auto"/>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DF</w:t>
            </w:r>
          </w:p>
        </w:tc>
        <w:tc>
          <w:tcPr>
            <w:tcW w:w="1115" w:type="pct"/>
          </w:tcPr>
          <w:p w14:paraId="0BF2ABB2" w14:textId="77777777" w:rsidR="0093626A" w:rsidRDefault="00000000" w:rsidP="005915A7">
            <w:pPr>
              <w:spacing w:after="0" w:line="360" w:lineRule="auto"/>
              <w:jc w:val="right"/>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167</w:t>
            </w:r>
          </w:p>
        </w:tc>
        <w:tc>
          <w:tcPr>
            <w:tcW w:w="1114" w:type="pct"/>
          </w:tcPr>
          <w:p w14:paraId="77B17E50" w14:textId="77777777" w:rsidR="0093626A" w:rsidRDefault="00000000" w:rsidP="005915A7">
            <w:pPr>
              <w:spacing w:after="0" w:line="360" w:lineRule="auto"/>
              <w:jc w:val="right"/>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Bueno</w:t>
            </w:r>
          </w:p>
        </w:tc>
      </w:tr>
      <w:tr w:rsidR="0093626A" w14:paraId="69B2F374" w14:textId="77777777">
        <w:trPr>
          <w:trHeight w:val="315"/>
          <w:jc w:val="center"/>
        </w:trPr>
        <w:tc>
          <w:tcPr>
            <w:tcW w:w="2771" w:type="pct"/>
            <w:noWrap/>
          </w:tcPr>
          <w:p w14:paraId="2DE4676B" w14:textId="77777777" w:rsidR="0093626A" w:rsidRDefault="00000000" w:rsidP="005915A7">
            <w:pPr>
              <w:spacing w:after="0" w:line="360" w:lineRule="auto"/>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CMIN/DF</w:t>
            </w:r>
          </w:p>
        </w:tc>
        <w:tc>
          <w:tcPr>
            <w:tcW w:w="1115" w:type="pct"/>
          </w:tcPr>
          <w:p w14:paraId="2E604505" w14:textId="77777777" w:rsidR="0093626A" w:rsidRDefault="00000000" w:rsidP="005915A7">
            <w:pPr>
              <w:spacing w:after="0" w:line="360" w:lineRule="auto"/>
              <w:jc w:val="right"/>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2.7</w:t>
            </w:r>
          </w:p>
        </w:tc>
        <w:tc>
          <w:tcPr>
            <w:tcW w:w="1114" w:type="pct"/>
          </w:tcPr>
          <w:p w14:paraId="3E449FCB" w14:textId="77777777" w:rsidR="0093626A" w:rsidRDefault="00000000" w:rsidP="005915A7">
            <w:pPr>
              <w:spacing w:after="0" w:line="360" w:lineRule="auto"/>
              <w:jc w:val="right"/>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Bueno</w:t>
            </w:r>
          </w:p>
        </w:tc>
      </w:tr>
      <w:tr w:rsidR="0093626A" w14:paraId="14856D1B" w14:textId="77777777">
        <w:trPr>
          <w:trHeight w:val="315"/>
          <w:jc w:val="center"/>
        </w:trPr>
        <w:tc>
          <w:tcPr>
            <w:tcW w:w="2771" w:type="pct"/>
            <w:noWrap/>
            <w:vAlign w:val="center"/>
          </w:tcPr>
          <w:p w14:paraId="113298A3" w14:textId="77777777" w:rsidR="0093626A" w:rsidRDefault="00000000" w:rsidP="005915A7">
            <w:pPr>
              <w:spacing w:after="0" w:line="360" w:lineRule="auto"/>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lastRenderedPageBreak/>
              <w:t>Significancia de la X</w:t>
            </w:r>
            <w:r>
              <w:rPr>
                <w:rFonts w:ascii="Arial" w:eastAsia="Times New Roman" w:hAnsi="Arial" w:cs="Arial"/>
                <w:color w:val="000000"/>
                <w:kern w:val="0"/>
                <w:sz w:val="24"/>
                <w:szCs w:val="24"/>
                <w:vertAlign w:val="superscript"/>
                <w:lang w:eastAsia="es-MX"/>
                <w14:ligatures w14:val="none"/>
              </w:rPr>
              <w:t>2</w:t>
            </w:r>
          </w:p>
        </w:tc>
        <w:tc>
          <w:tcPr>
            <w:tcW w:w="1115" w:type="pct"/>
          </w:tcPr>
          <w:p w14:paraId="5D16637B" w14:textId="77777777" w:rsidR="0093626A" w:rsidRDefault="00000000" w:rsidP="005915A7">
            <w:pPr>
              <w:spacing w:after="0" w:line="360" w:lineRule="auto"/>
              <w:jc w:val="right"/>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0.000</w:t>
            </w:r>
          </w:p>
        </w:tc>
        <w:tc>
          <w:tcPr>
            <w:tcW w:w="1114" w:type="pct"/>
          </w:tcPr>
          <w:p w14:paraId="3EF33D5A" w14:textId="77777777" w:rsidR="0093626A" w:rsidRDefault="00000000" w:rsidP="005915A7">
            <w:pPr>
              <w:spacing w:after="0" w:line="360" w:lineRule="auto"/>
              <w:jc w:val="right"/>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No significante</w:t>
            </w:r>
          </w:p>
        </w:tc>
      </w:tr>
      <w:tr w:rsidR="0093626A" w14:paraId="46B297C6" w14:textId="77777777">
        <w:trPr>
          <w:trHeight w:val="315"/>
          <w:jc w:val="center"/>
        </w:trPr>
        <w:tc>
          <w:tcPr>
            <w:tcW w:w="2771" w:type="pct"/>
            <w:noWrap/>
          </w:tcPr>
          <w:p w14:paraId="5DB75C41" w14:textId="77777777" w:rsidR="0093626A" w:rsidRDefault="00000000" w:rsidP="005915A7">
            <w:pPr>
              <w:spacing w:after="0" w:line="360" w:lineRule="auto"/>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RMR</w:t>
            </w:r>
          </w:p>
        </w:tc>
        <w:tc>
          <w:tcPr>
            <w:tcW w:w="1115" w:type="pct"/>
          </w:tcPr>
          <w:p w14:paraId="5E5B1356" w14:textId="77777777" w:rsidR="0093626A" w:rsidRDefault="00000000" w:rsidP="005915A7">
            <w:pPr>
              <w:spacing w:after="0" w:line="360" w:lineRule="auto"/>
              <w:jc w:val="right"/>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0.088</w:t>
            </w:r>
          </w:p>
        </w:tc>
        <w:tc>
          <w:tcPr>
            <w:tcW w:w="1114" w:type="pct"/>
          </w:tcPr>
          <w:p w14:paraId="6701AF65" w14:textId="77777777" w:rsidR="0093626A" w:rsidRDefault="00000000" w:rsidP="005915A7">
            <w:pPr>
              <w:spacing w:after="0" w:line="360" w:lineRule="auto"/>
              <w:jc w:val="right"/>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Bueno</w:t>
            </w:r>
          </w:p>
        </w:tc>
      </w:tr>
      <w:tr w:rsidR="0093626A" w14:paraId="7DF7BF51" w14:textId="77777777">
        <w:trPr>
          <w:trHeight w:val="315"/>
          <w:jc w:val="center"/>
        </w:trPr>
        <w:tc>
          <w:tcPr>
            <w:tcW w:w="2771" w:type="pct"/>
            <w:noWrap/>
          </w:tcPr>
          <w:p w14:paraId="4C7557DA" w14:textId="77777777" w:rsidR="0093626A" w:rsidRDefault="00000000" w:rsidP="005915A7">
            <w:pPr>
              <w:spacing w:after="0" w:line="360" w:lineRule="auto"/>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CFI</w:t>
            </w:r>
          </w:p>
        </w:tc>
        <w:tc>
          <w:tcPr>
            <w:tcW w:w="1115" w:type="pct"/>
          </w:tcPr>
          <w:p w14:paraId="4CB826A1" w14:textId="77777777" w:rsidR="0093626A" w:rsidRDefault="00000000" w:rsidP="005915A7">
            <w:pPr>
              <w:spacing w:after="0" w:line="360" w:lineRule="auto"/>
              <w:jc w:val="right"/>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0.92</w:t>
            </w:r>
          </w:p>
        </w:tc>
        <w:tc>
          <w:tcPr>
            <w:tcW w:w="1114" w:type="pct"/>
          </w:tcPr>
          <w:p w14:paraId="4FAEBF8F" w14:textId="77777777" w:rsidR="0093626A" w:rsidRDefault="00000000" w:rsidP="005915A7">
            <w:pPr>
              <w:spacing w:after="0" w:line="360" w:lineRule="auto"/>
              <w:jc w:val="right"/>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Bien</w:t>
            </w:r>
          </w:p>
        </w:tc>
      </w:tr>
      <w:tr w:rsidR="0093626A" w14:paraId="63A486DD" w14:textId="77777777">
        <w:trPr>
          <w:trHeight w:val="315"/>
          <w:jc w:val="center"/>
        </w:trPr>
        <w:tc>
          <w:tcPr>
            <w:tcW w:w="2771" w:type="pct"/>
            <w:noWrap/>
          </w:tcPr>
          <w:p w14:paraId="2473759F" w14:textId="77777777" w:rsidR="0093626A" w:rsidRDefault="00000000" w:rsidP="005915A7">
            <w:pPr>
              <w:spacing w:after="0" w:line="360" w:lineRule="auto"/>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IFI</w:t>
            </w:r>
          </w:p>
        </w:tc>
        <w:tc>
          <w:tcPr>
            <w:tcW w:w="1115" w:type="pct"/>
          </w:tcPr>
          <w:p w14:paraId="7C741D84" w14:textId="77777777" w:rsidR="0093626A" w:rsidRDefault="00000000" w:rsidP="005915A7">
            <w:pPr>
              <w:spacing w:after="0" w:line="360" w:lineRule="auto"/>
              <w:jc w:val="right"/>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0.92</w:t>
            </w:r>
          </w:p>
        </w:tc>
        <w:tc>
          <w:tcPr>
            <w:tcW w:w="1114" w:type="pct"/>
          </w:tcPr>
          <w:p w14:paraId="0D9D391B" w14:textId="77777777" w:rsidR="0093626A" w:rsidRDefault="00000000" w:rsidP="005915A7">
            <w:pPr>
              <w:spacing w:after="0" w:line="360" w:lineRule="auto"/>
              <w:jc w:val="right"/>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Bien</w:t>
            </w:r>
          </w:p>
        </w:tc>
      </w:tr>
      <w:tr w:rsidR="0093626A" w14:paraId="15D140CF" w14:textId="77777777">
        <w:trPr>
          <w:cantSplit/>
          <w:trHeight w:val="315"/>
          <w:jc w:val="center"/>
        </w:trPr>
        <w:tc>
          <w:tcPr>
            <w:tcW w:w="2771" w:type="pct"/>
            <w:noWrap/>
          </w:tcPr>
          <w:p w14:paraId="39D6C61F" w14:textId="77777777" w:rsidR="0093626A" w:rsidRDefault="00000000" w:rsidP="005915A7">
            <w:pPr>
              <w:spacing w:after="0" w:line="360" w:lineRule="auto"/>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RMSEA</w:t>
            </w:r>
          </w:p>
        </w:tc>
        <w:tc>
          <w:tcPr>
            <w:tcW w:w="1115" w:type="pct"/>
          </w:tcPr>
          <w:p w14:paraId="7F7B5412" w14:textId="77777777" w:rsidR="0093626A" w:rsidRDefault="00000000" w:rsidP="005915A7">
            <w:pPr>
              <w:spacing w:after="0" w:line="360" w:lineRule="auto"/>
              <w:jc w:val="right"/>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0.103</w:t>
            </w:r>
          </w:p>
        </w:tc>
        <w:tc>
          <w:tcPr>
            <w:tcW w:w="1114" w:type="pct"/>
          </w:tcPr>
          <w:p w14:paraId="39553B50" w14:textId="77777777" w:rsidR="0093626A" w:rsidRDefault="00000000" w:rsidP="005915A7">
            <w:pPr>
              <w:spacing w:after="0" w:line="360" w:lineRule="auto"/>
              <w:jc w:val="right"/>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Moderado</w:t>
            </w:r>
          </w:p>
        </w:tc>
      </w:tr>
      <w:tr w:rsidR="0093626A" w14:paraId="38F51C32" w14:textId="77777777">
        <w:trPr>
          <w:trHeight w:val="315"/>
          <w:jc w:val="center"/>
        </w:trPr>
        <w:tc>
          <w:tcPr>
            <w:tcW w:w="2771" w:type="pct"/>
            <w:tcBorders>
              <w:bottom w:val="single" w:sz="4" w:space="0" w:color="auto"/>
            </w:tcBorders>
            <w:noWrap/>
          </w:tcPr>
          <w:p w14:paraId="17B00963" w14:textId="77777777" w:rsidR="0093626A" w:rsidRDefault="00000000" w:rsidP="005915A7">
            <w:pPr>
              <w:spacing w:after="0" w:line="360" w:lineRule="auto"/>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NNFI</w:t>
            </w:r>
          </w:p>
        </w:tc>
        <w:tc>
          <w:tcPr>
            <w:tcW w:w="1115" w:type="pct"/>
            <w:tcBorders>
              <w:bottom w:val="single" w:sz="4" w:space="0" w:color="auto"/>
            </w:tcBorders>
          </w:tcPr>
          <w:p w14:paraId="5764D9AE" w14:textId="77777777" w:rsidR="0093626A" w:rsidRDefault="00000000" w:rsidP="005915A7">
            <w:pPr>
              <w:spacing w:after="0" w:line="360" w:lineRule="auto"/>
              <w:jc w:val="right"/>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0.91</w:t>
            </w:r>
          </w:p>
        </w:tc>
        <w:tc>
          <w:tcPr>
            <w:tcW w:w="1114" w:type="pct"/>
            <w:tcBorders>
              <w:bottom w:val="single" w:sz="4" w:space="0" w:color="auto"/>
            </w:tcBorders>
          </w:tcPr>
          <w:p w14:paraId="52FFC353" w14:textId="77777777" w:rsidR="0093626A" w:rsidRDefault="00000000" w:rsidP="005915A7">
            <w:pPr>
              <w:spacing w:after="0" w:line="360" w:lineRule="auto"/>
              <w:jc w:val="right"/>
              <w:rPr>
                <w:rFonts w:ascii="Arial" w:eastAsia="Times New Roman" w:hAnsi="Arial" w:cs="Arial"/>
                <w:color w:val="000000"/>
                <w:kern w:val="0"/>
                <w:sz w:val="24"/>
                <w:szCs w:val="24"/>
                <w:lang w:eastAsia="es-MX"/>
                <w14:ligatures w14:val="none"/>
              </w:rPr>
            </w:pPr>
            <w:r>
              <w:rPr>
                <w:rFonts w:ascii="Arial" w:eastAsia="Times New Roman" w:hAnsi="Arial" w:cs="Arial"/>
                <w:color w:val="000000"/>
                <w:kern w:val="0"/>
                <w:sz w:val="24"/>
                <w:szCs w:val="24"/>
                <w:lang w:eastAsia="es-MX"/>
                <w14:ligatures w14:val="none"/>
              </w:rPr>
              <w:t>Aceptable</w:t>
            </w:r>
          </w:p>
        </w:tc>
      </w:tr>
    </w:tbl>
    <w:p w14:paraId="2E478A39" w14:textId="77777777" w:rsidR="0093626A" w:rsidRDefault="00000000" w:rsidP="005915A7">
      <w:pPr>
        <w:spacing w:after="0" w:line="360" w:lineRule="auto"/>
        <w:jc w:val="both"/>
        <w:rPr>
          <w:rFonts w:ascii="Arial" w:hAnsi="Arial" w:cs="Arial"/>
          <w:sz w:val="20"/>
          <w:szCs w:val="20"/>
        </w:rPr>
      </w:pPr>
      <w:r w:rsidRPr="00634580">
        <w:rPr>
          <w:rFonts w:ascii="Arial" w:hAnsi="Arial" w:cs="Arial"/>
          <w:sz w:val="20"/>
          <w:szCs w:val="20"/>
        </w:rPr>
        <w:t>Fuente: Elaboración propia.</w:t>
      </w:r>
    </w:p>
    <w:p w14:paraId="098E814E" w14:textId="77777777" w:rsidR="0093626A" w:rsidRPr="00634580" w:rsidRDefault="0093626A" w:rsidP="005915A7">
      <w:pPr>
        <w:spacing w:after="0" w:line="360" w:lineRule="auto"/>
        <w:jc w:val="both"/>
        <w:rPr>
          <w:rFonts w:ascii="Arial" w:hAnsi="Arial" w:cs="Arial"/>
          <w:sz w:val="20"/>
          <w:szCs w:val="20"/>
        </w:rPr>
      </w:pPr>
    </w:p>
    <w:p w14:paraId="3B034396" w14:textId="77777777" w:rsidR="0093626A" w:rsidRDefault="00000000" w:rsidP="005915A7">
      <w:pPr>
        <w:spacing w:after="0" w:line="360" w:lineRule="auto"/>
        <w:jc w:val="both"/>
        <w:rPr>
          <w:rFonts w:ascii="Arial" w:hAnsi="Arial" w:cs="Arial"/>
          <w:sz w:val="24"/>
          <w:szCs w:val="24"/>
        </w:rPr>
      </w:pPr>
      <w:r>
        <w:rPr>
          <w:rFonts w:ascii="Arial" w:hAnsi="Arial" w:cs="Arial"/>
          <w:sz w:val="24"/>
          <w:szCs w:val="24"/>
        </w:rPr>
        <w:t>Figura 4. Path Diagram</w:t>
      </w:r>
    </w:p>
    <w:p w14:paraId="07449874" w14:textId="77777777" w:rsidR="0093626A" w:rsidRDefault="00000000" w:rsidP="005915A7">
      <w:pPr>
        <w:spacing w:after="0" w:line="360" w:lineRule="auto"/>
        <w:jc w:val="both"/>
        <w:rPr>
          <w:rFonts w:ascii="Arial" w:eastAsiaTheme="minorEastAsia" w:hAnsi="Arial" w:cs="Arial"/>
          <w:sz w:val="24"/>
          <w:szCs w:val="24"/>
        </w:rPr>
      </w:pPr>
      <w:r w:rsidRPr="00634580">
        <w:rPr>
          <w:rFonts w:ascii="Arial" w:hAnsi="Arial" w:cs="Arial"/>
          <w:noProof/>
          <w:sz w:val="24"/>
          <w:szCs w:val="24"/>
        </w:rPr>
        <w:drawing>
          <wp:inline distT="0" distB="0" distL="0" distR="0" wp14:anchorId="56195CCE" wp14:editId="260A3E14">
            <wp:extent cx="5612130" cy="3444875"/>
            <wp:effectExtent l="0" t="0" r="7620" b="3175"/>
            <wp:docPr id="1842479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47977" name="Imagen 1"/>
                    <pic:cNvPicPr>
                      <a:picLocks noChangeAspect="1"/>
                    </pic:cNvPicPr>
                  </pic:nvPicPr>
                  <pic:blipFill>
                    <a:blip r:embed="rId46"/>
                    <a:stretch>
                      <a:fillRect/>
                    </a:stretch>
                  </pic:blipFill>
                  <pic:spPr>
                    <a:xfrm>
                      <a:off x="0" y="0"/>
                      <a:ext cx="5612130" cy="3444875"/>
                    </a:xfrm>
                    <a:prstGeom prst="rect">
                      <a:avLst/>
                    </a:prstGeom>
                  </pic:spPr>
                </pic:pic>
              </a:graphicData>
            </a:graphic>
          </wp:inline>
        </w:drawing>
      </w:r>
    </w:p>
    <w:p w14:paraId="6D994E23" w14:textId="77777777" w:rsidR="0093626A" w:rsidRPr="00634580" w:rsidRDefault="00000000" w:rsidP="005915A7">
      <w:pPr>
        <w:spacing w:after="0" w:line="360" w:lineRule="auto"/>
        <w:jc w:val="both"/>
        <w:rPr>
          <w:rFonts w:ascii="Arial" w:hAnsi="Arial" w:cs="Arial"/>
          <w:sz w:val="20"/>
          <w:szCs w:val="20"/>
        </w:rPr>
      </w:pPr>
      <w:r w:rsidRPr="00634580">
        <w:rPr>
          <w:rFonts w:ascii="Arial" w:hAnsi="Arial" w:cs="Arial"/>
          <w:sz w:val="20"/>
          <w:szCs w:val="20"/>
        </w:rPr>
        <w:t>Fuente: Elaboración propia.</w:t>
      </w:r>
    </w:p>
    <w:p w14:paraId="2D57972B" w14:textId="77777777" w:rsidR="0093626A" w:rsidRDefault="0093626A" w:rsidP="005915A7">
      <w:pPr>
        <w:spacing w:after="0" w:line="360" w:lineRule="auto"/>
        <w:jc w:val="both"/>
        <w:rPr>
          <w:rFonts w:ascii="Arial" w:hAnsi="Arial" w:cs="Arial"/>
          <w:sz w:val="24"/>
          <w:szCs w:val="24"/>
        </w:rPr>
      </w:pPr>
    </w:p>
    <w:p w14:paraId="144F093E" w14:textId="77777777" w:rsidR="0093626A" w:rsidRDefault="00000000" w:rsidP="00634580">
      <w:pPr>
        <w:spacing w:after="0" w:line="360" w:lineRule="auto"/>
        <w:ind w:firstLine="708"/>
        <w:jc w:val="both"/>
        <w:rPr>
          <w:rFonts w:ascii="Arial" w:hAnsi="Arial" w:cs="Arial"/>
          <w:sz w:val="24"/>
          <w:szCs w:val="24"/>
        </w:rPr>
      </w:pPr>
      <w:r>
        <w:rPr>
          <w:rFonts w:ascii="Arial" w:hAnsi="Arial" w:cs="Arial"/>
          <w:sz w:val="24"/>
          <w:szCs w:val="24"/>
        </w:rPr>
        <w:t>De acuerdo a la metodología de Tambun (2020) dos de las tres hipótesis fueron soportadas con valores estadísticos de t por arriba de 1.96 y p-value inferiores a 0.05; por lo tanto, se puede afirmar la actitud de los individuos y las normas subjetivas poseen un efecto significativo sobre el consumo socialmente responsable. Esto es similar a lo encontrado por el autor del instrumento, Cristancho (2021), en Colombia (Tabla 7 y Figura 5).</w:t>
      </w:r>
    </w:p>
    <w:p w14:paraId="372240FA" w14:textId="77777777" w:rsidR="0093626A" w:rsidRDefault="0093626A" w:rsidP="005915A7">
      <w:pPr>
        <w:autoSpaceDE w:val="0"/>
        <w:autoSpaceDN w:val="0"/>
        <w:adjustRightInd w:val="0"/>
        <w:spacing w:after="0" w:line="360" w:lineRule="auto"/>
        <w:jc w:val="both"/>
        <w:rPr>
          <w:rFonts w:ascii="Arial" w:hAnsi="Arial" w:cs="Arial"/>
          <w:sz w:val="24"/>
          <w:szCs w:val="24"/>
        </w:rPr>
      </w:pPr>
    </w:p>
    <w:p w14:paraId="38238C2A" w14:textId="77777777" w:rsidR="0093626A" w:rsidRDefault="00000000" w:rsidP="005915A7">
      <w:pPr>
        <w:autoSpaceDE w:val="0"/>
        <w:autoSpaceDN w:val="0"/>
        <w:adjustRightInd w:val="0"/>
        <w:spacing w:after="0" w:line="360" w:lineRule="auto"/>
        <w:jc w:val="both"/>
        <w:rPr>
          <w:rFonts w:ascii="Arial" w:hAnsi="Arial" w:cs="Arial"/>
          <w:sz w:val="24"/>
          <w:szCs w:val="24"/>
        </w:rPr>
      </w:pPr>
      <w:r>
        <w:rPr>
          <w:rFonts w:ascii="Arial" w:hAnsi="Arial" w:cs="Arial"/>
          <w:sz w:val="24"/>
          <w:szCs w:val="24"/>
        </w:rPr>
        <w:lastRenderedPageBreak/>
        <w:t>Tabla 7. Resultados del modelo estructural</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2"/>
        <w:gridCol w:w="1688"/>
        <w:gridCol w:w="1490"/>
        <w:gridCol w:w="2118"/>
      </w:tblGrid>
      <w:tr w:rsidR="0093626A" w14:paraId="386B4F13" w14:textId="77777777">
        <w:tc>
          <w:tcPr>
            <w:tcW w:w="2004" w:type="pct"/>
            <w:tcBorders>
              <w:top w:val="single" w:sz="4" w:space="0" w:color="auto"/>
              <w:bottom w:val="single" w:sz="4" w:space="0" w:color="auto"/>
            </w:tcBorders>
            <w:vAlign w:val="center"/>
          </w:tcPr>
          <w:p w14:paraId="46C4FCD3" w14:textId="77777777" w:rsidR="0093626A" w:rsidRDefault="00000000" w:rsidP="005915A7">
            <w:pPr>
              <w:spacing w:after="0" w:line="360" w:lineRule="auto"/>
              <w:jc w:val="center"/>
              <w:rPr>
                <w:rFonts w:ascii="Arial" w:hAnsi="Arial" w:cs="Arial"/>
                <w:sz w:val="24"/>
                <w:szCs w:val="24"/>
              </w:rPr>
            </w:pPr>
            <w:r>
              <w:rPr>
                <w:rFonts w:ascii="Arial" w:hAnsi="Arial" w:cs="Arial"/>
                <w:sz w:val="24"/>
                <w:szCs w:val="24"/>
              </w:rPr>
              <w:t>Relaciones Hipotéticas</w:t>
            </w:r>
          </w:p>
        </w:tc>
        <w:tc>
          <w:tcPr>
            <w:tcW w:w="955" w:type="pct"/>
            <w:tcBorders>
              <w:top w:val="single" w:sz="4" w:space="0" w:color="auto"/>
              <w:bottom w:val="single" w:sz="4" w:space="0" w:color="auto"/>
            </w:tcBorders>
            <w:vAlign w:val="center"/>
          </w:tcPr>
          <w:p w14:paraId="0E241521" w14:textId="77777777" w:rsidR="0093626A" w:rsidRDefault="00000000" w:rsidP="005915A7">
            <w:pPr>
              <w:spacing w:after="0" w:line="360" w:lineRule="auto"/>
              <w:jc w:val="center"/>
              <w:rPr>
                <w:rFonts w:ascii="Arial" w:hAnsi="Arial" w:cs="Arial"/>
                <w:sz w:val="24"/>
                <w:szCs w:val="24"/>
              </w:rPr>
            </w:pPr>
            <w:r>
              <w:rPr>
                <w:rFonts w:ascii="Arial" w:hAnsi="Arial" w:cs="Arial"/>
                <w:sz w:val="24"/>
                <w:szCs w:val="24"/>
              </w:rPr>
              <w:t>Estadístico t</w:t>
            </w:r>
          </w:p>
        </w:tc>
        <w:tc>
          <w:tcPr>
            <w:tcW w:w="843" w:type="pct"/>
            <w:tcBorders>
              <w:top w:val="single" w:sz="4" w:space="0" w:color="auto"/>
              <w:bottom w:val="single" w:sz="4" w:space="0" w:color="auto"/>
            </w:tcBorders>
            <w:vAlign w:val="center"/>
          </w:tcPr>
          <w:p w14:paraId="194B4ABD" w14:textId="77777777" w:rsidR="0093626A" w:rsidRDefault="00000000" w:rsidP="005915A7">
            <w:pPr>
              <w:spacing w:after="0" w:line="360" w:lineRule="auto"/>
              <w:jc w:val="center"/>
              <w:rPr>
                <w:rFonts w:ascii="Arial" w:hAnsi="Arial" w:cs="Arial"/>
                <w:sz w:val="24"/>
                <w:szCs w:val="24"/>
              </w:rPr>
            </w:pPr>
            <w:r>
              <w:rPr>
                <w:rFonts w:ascii="Arial" w:hAnsi="Arial" w:cs="Arial"/>
                <w:sz w:val="24"/>
                <w:szCs w:val="24"/>
              </w:rPr>
              <w:t>Valor de P</w:t>
            </w:r>
          </w:p>
        </w:tc>
        <w:tc>
          <w:tcPr>
            <w:tcW w:w="1198" w:type="pct"/>
            <w:tcBorders>
              <w:top w:val="single" w:sz="4" w:space="0" w:color="auto"/>
              <w:bottom w:val="single" w:sz="4" w:space="0" w:color="auto"/>
            </w:tcBorders>
            <w:vAlign w:val="center"/>
          </w:tcPr>
          <w:p w14:paraId="787EED87" w14:textId="77777777" w:rsidR="0093626A" w:rsidRDefault="00000000" w:rsidP="005915A7">
            <w:pPr>
              <w:spacing w:after="0" w:line="360" w:lineRule="auto"/>
              <w:jc w:val="center"/>
              <w:rPr>
                <w:rFonts w:ascii="Arial" w:hAnsi="Arial" w:cs="Arial"/>
                <w:sz w:val="24"/>
                <w:szCs w:val="24"/>
              </w:rPr>
            </w:pPr>
            <w:r>
              <w:rPr>
                <w:rFonts w:ascii="Arial" w:hAnsi="Arial" w:cs="Arial"/>
                <w:sz w:val="24"/>
                <w:szCs w:val="24"/>
              </w:rPr>
              <w:t>Comprobación de hipótesis</w:t>
            </w:r>
          </w:p>
        </w:tc>
      </w:tr>
      <w:tr w:rsidR="0093626A" w14:paraId="361ADD86" w14:textId="77777777">
        <w:tc>
          <w:tcPr>
            <w:tcW w:w="2004" w:type="pct"/>
            <w:tcBorders>
              <w:top w:val="single" w:sz="4" w:space="0" w:color="auto"/>
            </w:tcBorders>
          </w:tcPr>
          <w:p w14:paraId="07C56FA3" w14:textId="77777777" w:rsidR="0093626A" w:rsidRDefault="00000000" w:rsidP="005915A7">
            <w:pPr>
              <w:spacing w:after="0" w:line="360" w:lineRule="auto"/>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71FC46AD" wp14:editId="76304AA3">
                      <wp:simplePos x="0" y="0"/>
                      <wp:positionH relativeFrom="column">
                        <wp:posOffset>608965</wp:posOffset>
                      </wp:positionH>
                      <wp:positionV relativeFrom="paragraph">
                        <wp:posOffset>78105</wp:posOffset>
                      </wp:positionV>
                      <wp:extent cx="152400" cy="0"/>
                      <wp:effectExtent l="0" t="38100" r="0" b="38100"/>
                      <wp:wrapNone/>
                      <wp:docPr id="1024603499" name="Conector recto de flecha 2"/>
                      <wp:cNvGraphicFramePr/>
                      <a:graphic xmlns:a="http://schemas.openxmlformats.org/drawingml/2006/main">
                        <a:graphicData uri="http://schemas.microsoft.com/office/word/2010/wordprocessingShape">
                          <wps:wsp>
                            <wps:cNvCnPr/>
                            <wps:spPr>
                              <a:xfrm>
                                <a:off x="0" y="0"/>
                                <a:ext cx="1524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Conector recto de flecha 2" o:spid="_x0000_s1026" o:spt="32" type="#_x0000_t32" style="position:absolute;left:0pt;margin-left:47.95pt;margin-top:6.15pt;height:0pt;width:12pt;z-index:251659264;mso-width-relative:page;mso-height-relative:page;" filled="f" stroked="t" coordsize="21600,21600" o:gfxdata="UEsDBAoAAAAAAIdO4kAAAAAAAAAAAAAAAAAEAAAAZHJzL1BLAwQUAAAACACHTuJAIhg8I9MAAAAI&#10;AQAADwAAAGRycy9kb3ducmV2LnhtbE2PwU7DMBBE70j8g7VI3KiTRqAmjdMDUm4IiVI4b+NtEhqv&#10;o9hNy9+zFQc47pvR7Ey5ubhBzTSF3rOBdJGAIm687bk1sHuvH1agQkS2OHgmA98UYFPd3pRYWH/m&#10;N5q3sVUSwqFAA12MY6F1aDpyGBZ+JBbt4CeHUc6p1XbCs4S7QS+T5Ek77Fk+dDjSc0fNcXtyBl5e&#10;89XumM5zXTefX9nENWb6w5j7uzRZg4p0iX9muNaX6lBJp70/sQ1qMJA/5uIUvsxAXfU0F7D/Bboq&#10;9f8B1Q9QSwMEFAAAAAgAh07iQBj6f330AQAA7AMAAA4AAABkcnMvZTJvRG9jLnhtbK1TTW/bMAy9&#10;D9h/EHRf7KRp0BpxekjWXYatwLYfwMiyLUBfINV8/PtRcppu3aWH+SBTovjI90itH07OioNGMsG3&#10;cj6rpdBehc74oZW/fj5+upOCEvgObPC6lWdN8mHz8cP6GBu9CGOwnUbBIJ6aY2zlmFJsqorUqB3Q&#10;LETt2dkHdJB4i0PVIRwZ3dlqUder6hiwixiUJuLT3eSUF0R8D2Doe6P0Lqhnp32aUFFbSEyJRhNJ&#10;bkq1fa9V+t73pJOwrWSmqaychO19XqvNGpoBIY5GXUqA95TwhpMD4znpFWoHCcQzmn+gnFEYKPRp&#10;poKrJiJFEWYxr99o82OEqAsXlpriVXT6f7Dq2+EJhel4EurFclXfLO/vpfDguPNb7r9KAQXmn+i0&#10;6K1WI4hFlu0YqeHorX/Cy47iE2YNTj26/Gd24lSkPl+l1qckFB/ObxfLmpugXlzVa1xESl90cCIb&#10;raSEYIYxcTlTPfOiNBy+UuLMHPgSkJP68GisLW21Xhxbubq5zXmAR7XnEWHTRaZLfpAC7MBvQCUs&#10;iBSs6XJ0xiEc9luL4gB5csqXWXO2v67l1DugcbpXXNNMOZP4mVjjWnl3jYYmgbGffSfSObLCCQ34&#10;weoLsvWcIOs6KZmtfejOReByzkNQSrgMbJ6yP/cl+vWRb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hg8I9MAAAAIAQAADwAAAAAAAAABACAAAAAiAAAAZHJzL2Rvd25yZXYueG1sUEsBAhQAFAAA&#10;AAgAh07iQBj6f330AQAA7AMAAA4AAAAAAAAAAQAgAAAAIgEAAGRycy9lMm9Eb2MueG1sUEsFBgAA&#10;AAAGAAYAWQEAAIgFAAAAAA==&#10;">
                      <v:fill on="f" focussize="0,0"/>
                      <v:stroke weight="0.5pt" color="#000000 [3200]" miterlimit="8" joinstyle="miter" endarrow="block"/>
                      <v:imagedata o:title=""/>
                      <o:lock v:ext="edit" aspectratio="f"/>
                    </v:shape>
                  </w:pict>
                </mc:Fallback>
              </mc:AlternateContent>
            </w:r>
            <w:r>
              <w:rPr>
                <w:rFonts w:ascii="Arial" w:hAnsi="Arial" w:cs="Arial"/>
                <w:sz w:val="24"/>
                <w:szCs w:val="24"/>
              </w:rPr>
              <w:t xml:space="preserve">H1: ACT    CSR </w:t>
            </w:r>
          </w:p>
        </w:tc>
        <w:tc>
          <w:tcPr>
            <w:tcW w:w="955" w:type="pct"/>
            <w:tcBorders>
              <w:top w:val="single" w:sz="4" w:space="0" w:color="auto"/>
            </w:tcBorders>
          </w:tcPr>
          <w:p w14:paraId="3C586AA0" w14:textId="77777777" w:rsidR="0093626A" w:rsidRDefault="00000000" w:rsidP="005915A7">
            <w:pPr>
              <w:spacing w:after="0" w:line="360" w:lineRule="auto"/>
              <w:jc w:val="right"/>
              <w:rPr>
                <w:rFonts w:ascii="Arial" w:hAnsi="Arial" w:cs="Arial"/>
                <w:sz w:val="24"/>
                <w:szCs w:val="24"/>
              </w:rPr>
            </w:pPr>
            <w:r>
              <w:rPr>
                <w:rFonts w:ascii="Arial" w:hAnsi="Arial" w:cs="Arial"/>
                <w:sz w:val="24"/>
                <w:szCs w:val="24"/>
              </w:rPr>
              <w:t>6.22</w:t>
            </w:r>
          </w:p>
        </w:tc>
        <w:tc>
          <w:tcPr>
            <w:tcW w:w="843" w:type="pct"/>
            <w:tcBorders>
              <w:top w:val="single" w:sz="4" w:space="0" w:color="auto"/>
            </w:tcBorders>
          </w:tcPr>
          <w:p w14:paraId="26FF4E9F" w14:textId="77777777" w:rsidR="0093626A" w:rsidRDefault="00000000" w:rsidP="005915A7">
            <w:pPr>
              <w:spacing w:after="0" w:line="360" w:lineRule="auto"/>
              <w:jc w:val="right"/>
              <w:rPr>
                <w:rFonts w:ascii="Arial" w:hAnsi="Arial" w:cs="Arial"/>
                <w:sz w:val="24"/>
                <w:szCs w:val="24"/>
              </w:rPr>
            </w:pPr>
            <w:r>
              <w:rPr>
                <w:rFonts w:ascii="Arial" w:hAnsi="Arial" w:cs="Arial"/>
                <w:sz w:val="24"/>
                <w:szCs w:val="24"/>
              </w:rPr>
              <w:t>0.000</w:t>
            </w:r>
          </w:p>
        </w:tc>
        <w:tc>
          <w:tcPr>
            <w:tcW w:w="1198" w:type="pct"/>
            <w:tcBorders>
              <w:top w:val="single" w:sz="4" w:space="0" w:color="auto"/>
            </w:tcBorders>
          </w:tcPr>
          <w:p w14:paraId="2B780314" w14:textId="77777777" w:rsidR="0093626A" w:rsidRDefault="00000000" w:rsidP="005915A7">
            <w:pPr>
              <w:spacing w:after="0" w:line="360" w:lineRule="auto"/>
              <w:jc w:val="both"/>
              <w:rPr>
                <w:rFonts w:ascii="Arial" w:hAnsi="Arial" w:cs="Arial"/>
                <w:sz w:val="24"/>
                <w:szCs w:val="24"/>
              </w:rPr>
            </w:pPr>
            <w:r>
              <w:rPr>
                <w:rFonts w:ascii="Arial" w:hAnsi="Arial" w:cs="Arial"/>
                <w:sz w:val="24"/>
                <w:szCs w:val="24"/>
              </w:rPr>
              <w:t>Soportada</w:t>
            </w:r>
          </w:p>
        </w:tc>
      </w:tr>
      <w:tr w:rsidR="0093626A" w14:paraId="26E94135" w14:textId="77777777">
        <w:tc>
          <w:tcPr>
            <w:tcW w:w="2004" w:type="pct"/>
          </w:tcPr>
          <w:p w14:paraId="3FB12D8E" w14:textId="77777777" w:rsidR="0093626A" w:rsidRDefault="00000000" w:rsidP="005915A7">
            <w:pPr>
              <w:spacing w:after="0" w:line="360" w:lineRule="auto"/>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288" behindDoc="0" locked="0" layoutInCell="1" allowOverlap="1" wp14:anchorId="35AC4FB8" wp14:editId="2E7B0D1A">
                      <wp:simplePos x="0" y="0"/>
                      <wp:positionH relativeFrom="column">
                        <wp:posOffset>882650</wp:posOffset>
                      </wp:positionH>
                      <wp:positionV relativeFrom="paragraph">
                        <wp:posOffset>78105</wp:posOffset>
                      </wp:positionV>
                      <wp:extent cx="152400" cy="0"/>
                      <wp:effectExtent l="0" t="38100" r="0" b="38100"/>
                      <wp:wrapNone/>
                      <wp:docPr id="1446634765" name="Conector recto de flecha 2"/>
                      <wp:cNvGraphicFramePr/>
                      <a:graphic xmlns:a="http://schemas.openxmlformats.org/drawingml/2006/main">
                        <a:graphicData uri="http://schemas.microsoft.com/office/word/2010/wordprocessingShape">
                          <wps:wsp>
                            <wps:cNvCnPr/>
                            <wps:spPr>
                              <a:xfrm>
                                <a:off x="0" y="0"/>
                                <a:ext cx="1524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Conector recto de flecha 2" o:spid="_x0000_s1026" o:spt="32" type="#_x0000_t32" style="position:absolute;left:0pt;margin-left:69.5pt;margin-top:6.15pt;height:0pt;width:12pt;z-index:251660288;mso-width-relative:page;mso-height-relative:page;" filled="f" stroked="t" coordsize="21600,21600" o:gfxdata="UEsDBAoAAAAAAIdO4kAAAAAAAAAAAAAAAAAEAAAAZHJzL1BLAwQUAAAACACHTuJAzw1EJ9IAAAAJ&#10;AQAADwAAAGRycy9kb3ducmV2LnhtbE1Py07DMBC8I/EP1iJxo04aqWpDnB6QckNIlMJ5Gy9JaLyO&#10;bDctf89WHOC289DsTLW9uFHNFOLg2UC+yEARt94O3BnYvzUPa1AxIVscPZOBb4qwrW9vKiytP/Mr&#10;zbvUKQnhWKKBPqWp1Dq2PTmMCz8Ri/bpg8MkMHTaBjxLuBv1MstW2uHA8qHHiZ56ao+7kzPw/LJZ&#10;74/5PDdN+/FVBG6w0O/G3N/l2SOoRJf0Z4ZrfakOtXQ6+BPbqEbBxUa2JDmWBairYVUIcfgldF3p&#10;/wvqH1BLAwQUAAAACACHTuJAWubvnvQBAADsAwAADgAAAGRycy9lMm9Eb2MueG1srVNNb9swDL0P&#10;2H8QdF+cpElWBHF6SNZdhi3Auh/AyLItQF8g1Tj596PkNN26Sw/zQaZE8ZHvkdo8nJ0VJ41kgq/l&#10;bDKVQnsVGuO7Wv56evx0LwUl8A3Y4HUtL5rkw/bjh80Q13oe+mAbjYJBPK2HWMs+pbiuKlK9dkCT&#10;ELVnZxvQQeItdlWDMDC6s9V8Ol1VQ8AmYlCaiE/3o1NeEfE9gKFtjdL7oJ6d9mlERW0hMSXqTSS5&#10;LdW2rVbpR9uSTsLWkpmmsnISto95rbYbWHcIsTfqWgK8p4Q3nBwYz0lvUHtIIJ7R/APljMJAoU0T&#10;FVw1EimKMIvZ9I02P3uIunBhqSneRKf/B6u+nw4oTMOTsFisVneLz6ulFB4cd37H/VcpoMD8E40W&#10;rdWqBzHPsg2R1hy98we87igeMGtwbtHlP7MT5yL15Sa1Pieh+HC2nC+m3AT14qpe4yJS+qqDE9mo&#10;JSUE0/WJyxnrmRWl4fSNEmfmwJeAnNSHR2Ntaav1Yqjl6m6Z8wCPassjwqaLTJd8JwXYjt+ASlgQ&#10;KVjT5OiMQ9gddxbFCfLklC+z5mx/Xcup90D9eK+4xplyJvEzscbV8v4WDesExn7xjUiXyAonNOA7&#10;q6/I1nOCrOuoZLaOobkUgcs5D0Ep4Tqwecr+3Jfo10e6/Q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PDUQn0gAAAAkBAAAPAAAAAAAAAAEAIAAAACIAAABkcnMvZG93bnJldi54bWxQSwECFAAUAAAA&#10;CACHTuJAWubvnvQBAADsAwAADgAAAAAAAAABACAAAAAhAQAAZHJzL2Uyb0RvYy54bWxQSwUGAAAA&#10;AAYABgBZAQAAhwUAAAAA&#10;">
                      <v:fill on="f" focussize="0,0"/>
                      <v:stroke weight="0.5pt" color="#000000 [3200]" miterlimit="8" joinstyle="miter" endarrow="block"/>
                      <v:imagedata o:title=""/>
                      <o:lock v:ext="edit" aspectratio="f"/>
                    </v:shape>
                  </w:pict>
                </mc:Fallback>
              </mc:AlternateContent>
            </w:r>
            <w:r>
              <w:rPr>
                <w:rFonts w:ascii="Arial" w:hAnsi="Arial" w:cs="Arial"/>
                <w:sz w:val="24"/>
                <w:szCs w:val="24"/>
              </w:rPr>
              <w:t>H2: NORMS     CSR</w:t>
            </w:r>
          </w:p>
        </w:tc>
        <w:tc>
          <w:tcPr>
            <w:tcW w:w="955" w:type="pct"/>
          </w:tcPr>
          <w:p w14:paraId="0B2D6C31" w14:textId="77777777" w:rsidR="0093626A" w:rsidRDefault="00000000" w:rsidP="005915A7">
            <w:pPr>
              <w:spacing w:after="0" w:line="360" w:lineRule="auto"/>
              <w:jc w:val="right"/>
              <w:rPr>
                <w:rFonts w:ascii="Arial" w:hAnsi="Arial" w:cs="Arial"/>
                <w:sz w:val="24"/>
                <w:szCs w:val="24"/>
              </w:rPr>
            </w:pPr>
            <w:r>
              <w:rPr>
                <w:rFonts w:ascii="Arial" w:hAnsi="Arial" w:cs="Arial"/>
                <w:sz w:val="24"/>
                <w:szCs w:val="24"/>
              </w:rPr>
              <w:t>6.61</w:t>
            </w:r>
          </w:p>
        </w:tc>
        <w:tc>
          <w:tcPr>
            <w:tcW w:w="843" w:type="pct"/>
          </w:tcPr>
          <w:p w14:paraId="689C51D7" w14:textId="77777777" w:rsidR="0093626A" w:rsidRDefault="00000000" w:rsidP="005915A7">
            <w:pPr>
              <w:spacing w:after="0" w:line="360" w:lineRule="auto"/>
              <w:jc w:val="right"/>
              <w:rPr>
                <w:rFonts w:ascii="Arial" w:hAnsi="Arial" w:cs="Arial"/>
                <w:sz w:val="24"/>
                <w:szCs w:val="24"/>
              </w:rPr>
            </w:pPr>
            <w:r>
              <w:rPr>
                <w:rFonts w:ascii="Arial" w:hAnsi="Arial" w:cs="Arial"/>
                <w:sz w:val="24"/>
                <w:szCs w:val="24"/>
              </w:rPr>
              <w:t>0.000</w:t>
            </w:r>
          </w:p>
        </w:tc>
        <w:tc>
          <w:tcPr>
            <w:tcW w:w="1198" w:type="pct"/>
          </w:tcPr>
          <w:p w14:paraId="4FFC8E3B" w14:textId="77777777" w:rsidR="0093626A" w:rsidRDefault="00000000" w:rsidP="005915A7">
            <w:pPr>
              <w:spacing w:after="0" w:line="360" w:lineRule="auto"/>
              <w:jc w:val="both"/>
              <w:rPr>
                <w:rFonts w:ascii="Arial" w:hAnsi="Arial" w:cs="Arial"/>
                <w:sz w:val="24"/>
                <w:szCs w:val="24"/>
              </w:rPr>
            </w:pPr>
            <w:r>
              <w:rPr>
                <w:rFonts w:ascii="Arial" w:hAnsi="Arial" w:cs="Arial"/>
                <w:sz w:val="24"/>
                <w:szCs w:val="24"/>
              </w:rPr>
              <w:t>Soportada</w:t>
            </w:r>
          </w:p>
        </w:tc>
      </w:tr>
      <w:tr w:rsidR="0093626A" w14:paraId="02E32D64" w14:textId="77777777">
        <w:tc>
          <w:tcPr>
            <w:tcW w:w="2004" w:type="pct"/>
            <w:tcBorders>
              <w:bottom w:val="single" w:sz="4" w:space="0" w:color="auto"/>
            </w:tcBorders>
          </w:tcPr>
          <w:p w14:paraId="5D774493" w14:textId="77777777" w:rsidR="0093626A" w:rsidRDefault="00000000" w:rsidP="005915A7">
            <w:pPr>
              <w:spacing w:after="0" w:line="360" w:lineRule="auto"/>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1312" behindDoc="0" locked="0" layoutInCell="1" allowOverlap="1" wp14:anchorId="41B26E52" wp14:editId="753F0B64">
                      <wp:simplePos x="0" y="0"/>
                      <wp:positionH relativeFrom="column">
                        <wp:posOffset>677545</wp:posOffset>
                      </wp:positionH>
                      <wp:positionV relativeFrom="paragraph">
                        <wp:posOffset>80010</wp:posOffset>
                      </wp:positionV>
                      <wp:extent cx="152400" cy="0"/>
                      <wp:effectExtent l="0" t="38100" r="0" b="38100"/>
                      <wp:wrapNone/>
                      <wp:docPr id="1073251521" name="Conector recto de flecha 2"/>
                      <wp:cNvGraphicFramePr/>
                      <a:graphic xmlns:a="http://schemas.openxmlformats.org/drawingml/2006/main">
                        <a:graphicData uri="http://schemas.microsoft.com/office/word/2010/wordprocessingShape">
                          <wps:wsp>
                            <wps:cNvCnPr/>
                            <wps:spPr>
                              <a:xfrm>
                                <a:off x="0" y="0"/>
                                <a:ext cx="1524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Conector recto de flecha 2" o:spid="_x0000_s1026" o:spt="32" type="#_x0000_t32" style="position:absolute;left:0pt;margin-left:53.35pt;margin-top:6.3pt;height:0pt;width:12pt;z-index:251661312;mso-width-relative:page;mso-height-relative:page;" filled="f" stroked="t" coordsize="21600,21600" o:gfxdata="UEsDBAoAAAAAAIdO4kAAAAAAAAAAAAAAAAAEAAAAZHJzL1BLAwQUAAAACACHTuJAeXfoxtQAAAAJ&#10;AQAADwAAAGRycy9kb3ducmV2LnhtbE2PQU/DMAyF70j8h8hI3FjSVSqja7oDUm8IiTE4e01ouzVO&#10;lWTd+Pd44gA3v+en58/V5uJGMdsQB08asoUCYan1ZqBOw+69eViBiAnJ4OjJavi2ETb17U2FpfFn&#10;erPzNnWCSyiWqKFPaSqljG1vHcaFnyzx7ssHh4ll6KQJeOZyN8qlUoV0OBBf6HGyz71tj9uT0/Dy&#10;+rTaHbN5bpr285AHajCXH1rf32VqDSLZS/oLwxWf0aFmpr0/kYliZK2KR47ysCxAXAO5YmP/a8i6&#10;kv8/qH8AUEsDBBQAAAAIAIdO4kCRn4vj8gEAAOwDAAAOAAAAZHJzL2Uyb0RvYy54bWytU8tu2zAQ&#10;vBfoPxC815KdOg0EyznYTS9FG6DtB6wpSiLAF3YZy/77LinHadNLDtWBWj52Zme43NyfnBVHjWSC&#10;b+VyUUuhvQqd8UMrf/18+HAnBSXwHdjgdSvPmuT99v27zRQbvQpjsJ1GwSCemim2ckwpNlVFatQO&#10;aBGi9rzZB3SQeIpD1SFMjO5starr22oK2EUMShPx6n7elBdEfAtg6Huj9D6oJ6d9mlFRW0gsiUYT&#10;SW5LtX2vVfre96STsK1kpamMTMLxIY/VdgPNgBBHoy4lwFtKeKXJgfFMeoXaQwLxhOYfKGcUBgp9&#10;WqjgqllIcYRVLOtX3vwYIeqiha2meDWd/h+s+nZ8RGE67oT6081qvVyvllJ4cHzzO75/lQIKzD/R&#10;adFbrUYQq2zbFKnh7J1/xMuM4iNmD049uvxndeJUrD5frdanJBQvMs/Hmi9BPW9VL3kRKX3RwYkc&#10;tJISghnGxOXM9SyL03D8SomZOfE5IZP68GCsLddqvZhaeXuzzjzArdpzi3DoIsslP0gBduA3oBIW&#10;RArWdDk74xAOh51FcYTcOeXLqpntr2OZeg80zufK1txTziR+Jta4Vt5ds6FJYOxn34l0juxwQgN+&#10;sPqCbD0TZF9nJ3N0CN25GFzWuQlKCZeGzV3257xkvzzS7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5d+jG1AAAAAkBAAAPAAAAAAAAAAEAIAAAACIAAABkcnMvZG93bnJldi54bWxQSwECFAAUAAAA&#10;CACHTuJAkZ+L4/IBAADsAwAADgAAAAAAAAABACAAAAAjAQAAZHJzL2Uyb0RvYy54bWxQSwUGAAAA&#10;AAYABgBZAQAAhwUAAAAA&#10;">
                      <v:fill on="f" focussize="0,0"/>
                      <v:stroke weight="0.5pt" color="#000000 [3200]" miterlimit="8" joinstyle="miter" endarrow="block"/>
                      <v:imagedata o:title=""/>
                      <o:lock v:ext="edit" aspectratio="f"/>
                    </v:shape>
                  </w:pict>
                </mc:Fallback>
              </mc:AlternateContent>
            </w:r>
            <w:r>
              <w:rPr>
                <w:rFonts w:ascii="Arial" w:hAnsi="Arial" w:cs="Arial"/>
                <w:sz w:val="24"/>
                <w:szCs w:val="24"/>
              </w:rPr>
              <w:t>H3: CPC       CSR</w:t>
            </w:r>
          </w:p>
        </w:tc>
        <w:tc>
          <w:tcPr>
            <w:tcW w:w="955" w:type="pct"/>
            <w:tcBorders>
              <w:bottom w:val="single" w:sz="4" w:space="0" w:color="auto"/>
            </w:tcBorders>
          </w:tcPr>
          <w:p w14:paraId="438EAFB1" w14:textId="77777777" w:rsidR="0093626A" w:rsidRDefault="00000000" w:rsidP="005915A7">
            <w:pPr>
              <w:spacing w:after="0" w:line="360" w:lineRule="auto"/>
              <w:jc w:val="right"/>
              <w:rPr>
                <w:rFonts w:ascii="Arial" w:hAnsi="Arial" w:cs="Arial"/>
                <w:sz w:val="24"/>
                <w:szCs w:val="24"/>
              </w:rPr>
            </w:pPr>
            <w:r>
              <w:rPr>
                <w:rFonts w:ascii="Arial" w:hAnsi="Arial" w:cs="Arial"/>
                <w:sz w:val="24"/>
                <w:szCs w:val="24"/>
              </w:rPr>
              <w:t>1.94</w:t>
            </w:r>
          </w:p>
        </w:tc>
        <w:tc>
          <w:tcPr>
            <w:tcW w:w="843" w:type="pct"/>
            <w:tcBorders>
              <w:bottom w:val="single" w:sz="4" w:space="0" w:color="auto"/>
            </w:tcBorders>
          </w:tcPr>
          <w:p w14:paraId="53F6EF8B" w14:textId="77777777" w:rsidR="0093626A" w:rsidRDefault="00000000" w:rsidP="005915A7">
            <w:pPr>
              <w:spacing w:after="0" w:line="360" w:lineRule="auto"/>
              <w:jc w:val="right"/>
              <w:rPr>
                <w:rFonts w:ascii="Arial" w:hAnsi="Arial" w:cs="Arial"/>
                <w:sz w:val="24"/>
                <w:szCs w:val="24"/>
              </w:rPr>
            </w:pPr>
            <w:r>
              <w:rPr>
                <w:rFonts w:ascii="Arial" w:hAnsi="Arial" w:cs="Arial"/>
                <w:sz w:val="24"/>
                <w:szCs w:val="24"/>
              </w:rPr>
              <w:t>0.159</w:t>
            </w:r>
          </w:p>
        </w:tc>
        <w:tc>
          <w:tcPr>
            <w:tcW w:w="1198" w:type="pct"/>
            <w:tcBorders>
              <w:bottom w:val="single" w:sz="4" w:space="0" w:color="auto"/>
            </w:tcBorders>
          </w:tcPr>
          <w:p w14:paraId="435083F5" w14:textId="77777777" w:rsidR="0093626A" w:rsidRDefault="00000000" w:rsidP="005915A7">
            <w:pPr>
              <w:spacing w:after="0" w:line="360" w:lineRule="auto"/>
              <w:jc w:val="both"/>
              <w:rPr>
                <w:rFonts w:ascii="Arial" w:hAnsi="Arial" w:cs="Arial"/>
                <w:sz w:val="24"/>
                <w:szCs w:val="24"/>
              </w:rPr>
            </w:pPr>
            <w:r>
              <w:rPr>
                <w:rFonts w:ascii="Arial" w:hAnsi="Arial" w:cs="Arial"/>
                <w:sz w:val="24"/>
                <w:szCs w:val="24"/>
              </w:rPr>
              <w:t>No Soportada</w:t>
            </w:r>
          </w:p>
        </w:tc>
      </w:tr>
    </w:tbl>
    <w:p w14:paraId="60511192" w14:textId="77777777" w:rsidR="0093626A" w:rsidRPr="00634580" w:rsidRDefault="00000000" w:rsidP="005915A7">
      <w:pPr>
        <w:spacing w:after="0" w:line="360" w:lineRule="auto"/>
        <w:jc w:val="both"/>
        <w:rPr>
          <w:rFonts w:ascii="Arial" w:hAnsi="Arial" w:cs="Arial"/>
          <w:sz w:val="20"/>
          <w:szCs w:val="20"/>
        </w:rPr>
      </w:pPr>
      <w:r w:rsidRPr="00634580">
        <w:rPr>
          <w:rFonts w:ascii="Arial" w:hAnsi="Arial" w:cs="Arial"/>
          <w:sz w:val="20"/>
          <w:szCs w:val="20"/>
        </w:rPr>
        <w:t>Fuente: Elaboración propia.</w:t>
      </w:r>
    </w:p>
    <w:p w14:paraId="211BE962" w14:textId="77777777" w:rsidR="0093626A" w:rsidRDefault="0093626A" w:rsidP="005915A7">
      <w:pPr>
        <w:spacing w:after="0" w:line="360" w:lineRule="auto"/>
        <w:jc w:val="both"/>
        <w:rPr>
          <w:rFonts w:ascii="Arial" w:hAnsi="Arial" w:cs="Arial"/>
          <w:sz w:val="24"/>
          <w:szCs w:val="24"/>
        </w:rPr>
      </w:pPr>
    </w:p>
    <w:p w14:paraId="46D508D4" w14:textId="77777777" w:rsidR="0093626A" w:rsidRDefault="00000000" w:rsidP="005915A7">
      <w:pPr>
        <w:spacing w:after="0" w:line="360" w:lineRule="auto"/>
        <w:jc w:val="both"/>
        <w:rPr>
          <w:rFonts w:ascii="Arial" w:hAnsi="Arial" w:cs="Arial"/>
          <w:sz w:val="24"/>
          <w:szCs w:val="24"/>
        </w:rPr>
      </w:pPr>
      <w:r>
        <w:rPr>
          <w:rFonts w:ascii="Arial" w:hAnsi="Arial" w:cs="Arial"/>
          <w:sz w:val="24"/>
          <w:szCs w:val="24"/>
        </w:rPr>
        <w:t>Figura 5. Prueba t para comprobar las hipótesis</w:t>
      </w:r>
    </w:p>
    <w:p w14:paraId="75C077A4" w14:textId="77777777" w:rsidR="0093626A" w:rsidRDefault="00000000" w:rsidP="005915A7">
      <w:pPr>
        <w:spacing w:after="0" w:line="360" w:lineRule="auto"/>
        <w:jc w:val="both"/>
        <w:rPr>
          <w:rFonts w:ascii="Arial" w:hAnsi="Arial" w:cs="Arial"/>
          <w:sz w:val="24"/>
          <w:szCs w:val="24"/>
        </w:rPr>
      </w:pPr>
      <w:r w:rsidRPr="00634580">
        <w:rPr>
          <w:rFonts w:ascii="Arial" w:hAnsi="Arial" w:cs="Arial"/>
          <w:noProof/>
          <w:sz w:val="24"/>
          <w:szCs w:val="24"/>
        </w:rPr>
        <w:drawing>
          <wp:inline distT="0" distB="0" distL="0" distR="0" wp14:anchorId="0EA4DFBC" wp14:editId="6627F20E">
            <wp:extent cx="5612130" cy="3535045"/>
            <wp:effectExtent l="0" t="0" r="7620" b="8255"/>
            <wp:docPr id="21360725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072563" name="Imagen 1"/>
                    <pic:cNvPicPr>
                      <a:picLocks noChangeAspect="1"/>
                    </pic:cNvPicPr>
                  </pic:nvPicPr>
                  <pic:blipFill>
                    <a:blip r:embed="rId47"/>
                    <a:stretch>
                      <a:fillRect/>
                    </a:stretch>
                  </pic:blipFill>
                  <pic:spPr>
                    <a:xfrm>
                      <a:off x="0" y="0"/>
                      <a:ext cx="5612130" cy="3535045"/>
                    </a:xfrm>
                    <a:prstGeom prst="rect">
                      <a:avLst/>
                    </a:prstGeom>
                  </pic:spPr>
                </pic:pic>
              </a:graphicData>
            </a:graphic>
          </wp:inline>
        </w:drawing>
      </w:r>
    </w:p>
    <w:p w14:paraId="73BACB7B" w14:textId="77777777" w:rsidR="0093626A" w:rsidRPr="00634580" w:rsidRDefault="00000000" w:rsidP="005915A7">
      <w:pPr>
        <w:spacing w:after="0" w:line="360" w:lineRule="auto"/>
        <w:jc w:val="both"/>
        <w:rPr>
          <w:rFonts w:ascii="Arial" w:hAnsi="Arial" w:cs="Arial"/>
          <w:b/>
          <w:bCs/>
          <w:sz w:val="20"/>
          <w:szCs w:val="20"/>
        </w:rPr>
      </w:pPr>
      <w:r w:rsidRPr="00634580">
        <w:rPr>
          <w:rFonts w:ascii="Arial" w:hAnsi="Arial" w:cs="Arial"/>
          <w:b/>
          <w:bCs/>
          <w:sz w:val="20"/>
          <w:szCs w:val="20"/>
        </w:rPr>
        <w:t>Fuente: Elaboración propia</w:t>
      </w:r>
    </w:p>
    <w:p w14:paraId="601D2617" w14:textId="77777777" w:rsidR="0093626A" w:rsidRDefault="0093626A" w:rsidP="005915A7">
      <w:pPr>
        <w:spacing w:after="0" w:line="360" w:lineRule="auto"/>
        <w:jc w:val="both"/>
        <w:rPr>
          <w:rFonts w:ascii="Arial" w:hAnsi="Arial" w:cs="Arial"/>
          <w:b/>
          <w:bCs/>
          <w:sz w:val="24"/>
          <w:szCs w:val="24"/>
        </w:rPr>
      </w:pPr>
    </w:p>
    <w:p w14:paraId="594B3CA9" w14:textId="77777777" w:rsidR="0093626A" w:rsidRDefault="00000000" w:rsidP="005915A7">
      <w:pPr>
        <w:spacing w:after="0" w:line="360" w:lineRule="auto"/>
        <w:jc w:val="both"/>
        <w:rPr>
          <w:rFonts w:ascii="Arial" w:hAnsi="Arial" w:cs="Arial"/>
          <w:b/>
          <w:bCs/>
          <w:sz w:val="24"/>
          <w:szCs w:val="24"/>
        </w:rPr>
      </w:pPr>
      <w:r>
        <w:rPr>
          <w:rFonts w:ascii="Arial" w:hAnsi="Arial" w:cs="Arial"/>
          <w:b/>
          <w:bCs/>
          <w:sz w:val="24"/>
          <w:szCs w:val="24"/>
        </w:rPr>
        <w:t>Conclusiones</w:t>
      </w:r>
    </w:p>
    <w:p w14:paraId="36630659" w14:textId="77777777" w:rsidR="0093626A" w:rsidRDefault="00000000" w:rsidP="005915A7">
      <w:pPr>
        <w:spacing w:after="0" w:line="360" w:lineRule="auto"/>
        <w:jc w:val="both"/>
        <w:rPr>
          <w:rFonts w:ascii="Arial" w:hAnsi="Arial" w:cs="Arial"/>
          <w:sz w:val="24"/>
          <w:szCs w:val="24"/>
        </w:rPr>
      </w:pPr>
      <w:r>
        <w:rPr>
          <w:rFonts w:ascii="Arial" w:hAnsi="Arial" w:cs="Arial"/>
          <w:sz w:val="24"/>
          <w:szCs w:val="24"/>
        </w:rPr>
        <w:t xml:space="preserve">La teoría propuesta por Ajzen puede aplicarse ampliamente en diferentes ámbitos como el CSR, cuyo estudio puede impactar en la competitividad de las empresas y en sus decisiones económicas, sociales y medioambientales, para responder a los cambios en el comportamiento de los consumidores. A partir de los resultados expuestos, puede observarse que, en el grupo etario de 20 a 30 años, el consumo consciente y reflexivo parte principalmente de la actitud y las normas subjetivas. </w:t>
      </w:r>
    </w:p>
    <w:p w14:paraId="0FF74DD7" w14:textId="77777777" w:rsidR="0093626A" w:rsidRDefault="0093626A" w:rsidP="005915A7">
      <w:pPr>
        <w:spacing w:after="0" w:line="360" w:lineRule="auto"/>
        <w:jc w:val="both"/>
        <w:rPr>
          <w:rFonts w:ascii="Arial" w:hAnsi="Arial" w:cs="Arial"/>
          <w:sz w:val="24"/>
          <w:szCs w:val="24"/>
        </w:rPr>
      </w:pPr>
    </w:p>
    <w:p w14:paraId="1D71EBDA" w14:textId="77777777" w:rsidR="0093626A" w:rsidRDefault="00000000" w:rsidP="00634580">
      <w:pPr>
        <w:spacing w:after="0" w:line="360" w:lineRule="auto"/>
        <w:ind w:firstLine="708"/>
        <w:jc w:val="both"/>
        <w:rPr>
          <w:rFonts w:ascii="Arial" w:hAnsi="Arial" w:cs="Arial"/>
          <w:sz w:val="24"/>
          <w:szCs w:val="24"/>
        </w:rPr>
      </w:pPr>
      <w:r>
        <w:rPr>
          <w:rFonts w:ascii="Arial" w:hAnsi="Arial" w:cs="Arial"/>
          <w:sz w:val="24"/>
          <w:szCs w:val="24"/>
        </w:rPr>
        <w:t>En cuanto a las limitantes del trabajo, estas se centran en la muestra que fue tomada por conveniencia y esto puede causar sesgos y baja representación. Por otra parte, los resultados son similares a los aplicados en Colombia en donde el comportamiento percibido de control resulto no significativo, por lo que en un siguiente trabajo convendría el uso de un instrumento complementario para la intención que se desea siendo un nuevo desafío para la investigación futura.</w:t>
      </w:r>
    </w:p>
    <w:p w14:paraId="3671CD42" w14:textId="77777777" w:rsidR="0093626A" w:rsidRDefault="0093626A" w:rsidP="005915A7">
      <w:pPr>
        <w:spacing w:after="0" w:line="360" w:lineRule="auto"/>
        <w:jc w:val="both"/>
        <w:rPr>
          <w:rFonts w:ascii="Arial" w:hAnsi="Arial" w:cs="Arial"/>
          <w:sz w:val="24"/>
          <w:szCs w:val="24"/>
        </w:rPr>
      </w:pPr>
    </w:p>
    <w:p w14:paraId="46DC2642" w14:textId="77777777" w:rsidR="0093626A" w:rsidRDefault="00000000" w:rsidP="005915A7">
      <w:pPr>
        <w:spacing w:after="0" w:line="360" w:lineRule="auto"/>
        <w:jc w:val="both"/>
        <w:rPr>
          <w:rFonts w:ascii="Arial" w:hAnsi="Arial" w:cs="Arial"/>
          <w:b/>
          <w:bCs/>
          <w:sz w:val="24"/>
          <w:szCs w:val="24"/>
        </w:rPr>
      </w:pPr>
      <w:r>
        <w:rPr>
          <w:rFonts w:ascii="Arial" w:hAnsi="Arial" w:cs="Arial"/>
          <w:b/>
          <w:bCs/>
          <w:sz w:val="24"/>
          <w:szCs w:val="24"/>
        </w:rPr>
        <w:t>Referencias bibliográficas</w:t>
      </w:r>
    </w:p>
    <w:p w14:paraId="06B47E2F" w14:textId="77777777" w:rsidR="0093626A" w:rsidRDefault="0093626A" w:rsidP="005915A7">
      <w:pPr>
        <w:spacing w:after="0" w:line="360" w:lineRule="auto"/>
        <w:ind w:left="567" w:hanging="567"/>
        <w:jc w:val="both"/>
        <w:rPr>
          <w:rFonts w:ascii="Arial" w:hAnsi="Arial" w:cs="Arial"/>
          <w:sz w:val="24"/>
          <w:szCs w:val="24"/>
        </w:rPr>
      </w:pPr>
    </w:p>
    <w:p w14:paraId="55597A22" w14:textId="77777777" w:rsidR="0093626A" w:rsidRDefault="00000000" w:rsidP="005915A7">
      <w:pPr>
        <w:spacing w:after="0" w:line="360" w:lineRule="auto"/>
        <w:ind w:left="567" w:hanging="567"/>
        <w:jc w:val="both"/>
        <w:rPr>
          <w:rFonts w:ascii="Arial" w:hAnsi="Arial" w:cs="Arial"/>
          <w:sz w:val="24"/>
          <w:szCs w:val="24"/>
        </w:rPr>
      </w:pPr>
      <w:r>
        <w:rPr>
          <w:rFonts w:ascii="Arial" w:hAnsi="Arial" w:cs="Arial"/>
          <w:sz w:val="24"/>
          <w:szCs w:val="24"/>
        </w:rPr>
        <w:t xml:space="preserve">Bucio-Gutiérrez, D., Jiménez-Almaguer, K. P. y Azuela-Flores, J. I. (2019). Intención de compra verde. </w:t>
      </w:r>
      <w:r>
        <w:rPr>
          <w:rFonts w:ascii="Arial" w:hAnsi="Arial" w:cs="Arial"/>
          <w:i/>
          <w:iCs/>
          <w:sz w:val="24"/>
          <w:szCs w:val="24"/>
        </w:rPr>
        <w:t>Investigación Administrativa, 49</w:t>
      </w:r>
      <w:r>
        <w:rPr>
          <w:rFonts w:ascii="Arial" w:hAnsi="Arial" w:cs="Arial"/>
          <w:sz w:val="24"/>
          <w:szCs w:val="24"/>
        </w:rPr>
        <w:t>(125).</w:t>
      </w:r>
    </w:p>
    <w:p w14:paraId="64AF58DE" w14:textId="77777777" w:rsidR="0093626A" w:rsidRDefault="0093626A" w:rsidP="005915A7">
      <w:pPr>
        <w:spacing w:after="0" w:line="360" w:lineRule="auto"/>
        <w:ind w:left="567" w:hanging="567"/>
        <w:jc w:val="both"/>
        <w:rPr>
          <w:rFonts w:ascii="Arial" w:hAnsi="Arial" w:cs="Arial"/>
          <w:sz w:val="24"/>
          <w:szCs w:val="24"/>
        </w:rPr>
      </w:pPr>
    </w:p>
    <w:p w14:paraId="35F139C8" w14:textId="77777777" w:rsidR="0093626A" w:rsidRDefault="00000000" w:rsidP="005915A7">
      <w:pPr>
        <w:spacing w:after="0" w:line="360" w:lineRule="auto"/>
        <w:ind w:left="567" w:hanging="567"/>
        <w:jc w:val="both"/>
        <w:rPr>
          <w:rFonts w:ascii="Arial" w:hAnsi="Arial" w:cs="Arial"/>
          <w:sz w:val="24"/>
          <w:szCs w:val="24"/>
        </w:rPr>
      </w:pPr>
      <w:r>
        <w:rPr>
          <w:rFonts w:ascii="Arial" w:hAnsi="Arial" w:cs="Arial"/>
          <w:sz w:val="24"/>
          <w:szCs w:val="24"/>
        </w:rPr>
        <w:t xml:space="preserve">Contreras-Cueva, A. B., y Macías-Álvarez, P.  (2022). Percepción de los estudiantes de turismo de la Universidad de Guadalajara (México) sobre la intención emprendedora. </w:t>
      </w:r>
      <w:r>
        <w:rPr>
          <w:rFonts w:ascii="Arial" w:hAnsi="Arial" w:cs="Arial"/>
          <w:i/>
          <w:iCs/>
          <w:sz w:val="24"/>
          <w:szCs w:val="24"/>
        </w:rPr>
        <w:t>El Ágora USB, 22</w:t>
      </w:r>
      <w:r>
        <w:rPr>
          <w:rFonts w:ascii="Arial" w:hAnsi="Arial" w:cs="Arial"/>
          <w:sz w:val="24"/>
          <w:szCs w:val="24"/>
        </w:rPr>
        <w:t xml:space="preserve">(1), 242-262. </w:t>
      </w:r>
      <w:hyperlink r:id="rId48" w:history="1">
        <w:r>
          <w:rPr>
            <w:rStyle w:val="Hipervnculo"/>
            <w:rFonts w:ascii="Arial" w:hAnsi="Arial" w:cs="Arial"/>
            <w:sz w:val="24"/>
            <w:szCs w:val="24"/>
          </w:rPr>
          <w:t>https://doi.org/10.21500/16578031.4772</w:t>
        </w:r>
      </w:hyperlink>
    </w:p>
    <w:p w14:paraId="02426E2C" w14:textId="77777777" w:rsidR="0093626A" w:rsidRDefault="0093626A" w:rsidP="005915A7">
      <w:pPr>
        <w:spacing w:after="0" w:line="360" w:lineRule="auto"/>
        <w:ind w:left="567" w:hanging="567"/>
        <w:jc w:val="both"/>
        <w:rPr>
          <w:rFonts w:ascii="Arial" w:hAnsi="Arial" w:cs="Arial"/>
          <w:sz w:val="24"/>
          <w:szCs w:val="24"/>
        </w:rPr>
      </w:pPr>
    </w:p>
    <w:p w14:paraId="49895085" w14:textId="77777777" w:rsidR="0093626A" w:rsidRDefault="00000000" w:rsidP="005915A7">
      <w:pPr>
        <w:spacing w:after="0" w:line="360" w:lineRule="auto"/>
        <w:ind w:left="567" w:hanging="567"/>
        <w:jc w:val="both"/>
        <w:rPr>
          <w:rFonts w:ascii="Arial" w:hAnsi="Arial" w:cs="Arial"/>
          <w:sz w:val="24"/>
          <w:szCs w:val="24"/>
        </w:rPr>
      </w:pPr>
      <w:r>
        <w:rPr>
          <w:rFonts w:ascii="Arial" w:hAnsi="Arial" w:cs="Arial"/>
          <w:sz w:val="24"/>
          <w:szCs w:val="24"/>
        </w:rPr>
        <w:t xml:space="preserve">Cristancho, G. J. (2023). Actitud e intención hacia el consumo responsable en los hogares de Bogotá. </w:t>
      </w:r>
      <w:r>
        <w:rPr>
          <w:rFonts w:ascii="Arial" w:hAnsi="Arial" w:cs="Arial"/>
          <w:i/>
          <w:iCs/>
          <w:sz w:val="24"/>
          <w:szCs w:val="24"/>
        </w:rPr>
        <w:t>Tendencias, 24</w:t>
      </w:r>
      <w:r>
        <w:rPr>
          <w:rFonts w:ascii="Arial" w:hAnsi="Arial" w:cs="Arial"/>
          <w:sz w:val="24"/>
          <w:szCs w:val="24"/>
        </w:rPr>
        <w:t>(1), 130–154. https://doi.org/10.22267/rtend.222302.218</w:t>
      </w:r>
    </w:p>
    <w:p w14:paraId="33E2E38C" w14:textId="77777777" w:rsidR="0093626A" w:rsidRDefault="0093626A" w:rsidP="005915A7">
      <w:pPr>
        <w:spacing w:after="0" w:line="360" w:lineRule="auto"/>
        <w:ind w:left="567" w:hanging="567"/>
        <w:jc w:val="both"/>
        <w:rPr>
          <w:rFonts w:ascii="Arial" w:hAnsi="Arial" w:cs="Arial"/>
          <w:sz w:val="24"/>
          <w:szCs w:val="24"/>
        </w:rPr>
      </w:pPr>
    </w:p>
    <w:p w14:paraId="22404B8D" w14:textId="77777777" w:rsidR="0093626A" w:rsidRDefault="00000000" w:rsidP="005915A7">
      <w:pPr>
        <w:spacing w:after="0" w:line="360" w:lineRule="auto"/>
        <w:ind w:left="567" w:hanging="567"/>
        <w:jc w:val="both"/>
        <w:rPr>
          <w:rFonts w:ascii="Arial" w:hAnsi="Arial" w:cs="Arial"/>
          <w:sz w:val="24"/>
          <w:szCs w:val="24"/>
          <w:lang w:val="en-US"/>
        </w:rPr>
      </w:pPr>
      <w:r>
        <w:rPr>
          <w:rFonts w:ascii="Arial" w:hAnsi="Arial" w:cs="Arial"/>
          <w:sz w:val="24"/>
          <w:szCs w:val="24"/>
        </w:rPr>
        <w:t xml:space="preserve">Dash, G. y Paul, J. (2021). </w:t>
      </w:r>
      <w:r>
        <w:rPr>
          <w:rFonts w:ascii="Arial" w:hAnsi="Arial" w:cs="Arial"/>
          <w:sz w:val="24"/>
          <w:szCs w:val="24"/>
          <w:lang w:val="en-US"/>
        </w:rPr>
        <w:t xml:space="preserve">CB-SEM vs PLS-SEM methods for research in social sciences and technology forecasting. </w:t>
      </w:r>
      <w:r>
        <w:rPr>
          <w:rFonts w:ascii="Arial" w:hAnsi="Arial" w:cs="Arial"/>
          <w:i/>
          <w:sz w:val="24"/>
          <w:szCs w:val="24"/>
          <w:lang w:val="en-US"/>
        </w:rPr>
        <w:t>Technological Forecasting and Social Change</w:t>
      </w:r>
      <w:r>
        <w:rPr>
          <w:rFonts w:ascii="Arial" w:hAnsi="Arial" w:cs="Arial"/>
          <w:sz w:val="24"/>
          <w:szCs w:val="24"/>
          <w:lang w:val="en-US"/>
        </w:rPr>
        <w:t xml:space="preserve">, 173, 1-11. </w:t>
      </w:r>
      <w:hyperlink r:id="rId49" w:history="1">
        <w:r>
          <w:rPr>
            <w:rStyle w:val="Hipervnculo"/>
            <w:rFonts w:ascii="Arial" w:hAnsi="Arial" w:cs="Arial"/>
            <w:sz w:val="24"/>
            <w:szCs w:val="24"/>
            <w:lang w:val="en-US"/>
          </w:rPr>
          <w:t>https://doi.org/10.1016/j.techfore.2021.121092</w:t>
        </w:r>
      </w:hyperlink>
    </w:p>
    <w:p w14:paraId="179F23F6" w14:textId="77777777" w:rsidR="0093626A" w:rsidRDefault="0093626A" w:rsidP="005915A7">
      <w:pPr>
        <w:spacing w:after="0" w:line="360" w:lineRule="auto"/>
        <w:ind w:left="567" w:hanging="567"/>
        <w:jc w:val="both"/>
        <w:rPr>
          <w:rFonts w:ascii="Arial" w:hAnsi="Arial" w:cs="Arial"/>
          <w:sz w:val="24"/>
          <w:szCs w:val="24"/>
          <w:lang w:val="en-US"/>
        </w:rPr>
      </w:pPr>
    </w:p>
    <w:p w14:paraId="4F334FA3" w14:textId="77777777" w:rsidR="0093626A" w:rsidRDefault="00000000" w:rsidP="005915A7">
      <w:pPr>
        <w:spacing w:after="0" w:line="360" w:lineRule="auto"/>
        <w:ind w:left="567" w:hanging="567"/>
        <w:jc w:val="both"/>
        <w:rPr>
          <w:rFonts w:ascii="Arial" w:hAnsi="Arial" w:cs="Arial"/>
          <w:sz w:val="24"/>
          <w:szCs w:val="24"/>
        </w:rPr>
      </w:pPr>
      <w:r>
        <w:rPr>
          <w:rFonts w:ascii="Arial" w:hAnsi="Arial" w:cs="Arial"/>
          <w:sz w:val="24"/>
          <w:szCs w:val="24"/>
        </w:rPr>
        <w:t xml:space="preserve">Dámaso-Flores, J., y Serpa-Barrientos, A.  (2022). Modelo Explicativo del Rendimiento Académico Asociado a Estilos de Crianza, Agresión y Resentimiento en Adolescentes Peruanos. </w:t>
      </w:r>
      <w:r>
        <w:rPr>
          <w:rFonts w:ascii="Arial" w:hAnsi="Arial" w:cs="Arial"/>
          <w:i/>
          <w:sz w:val="24"/>
          <w:szCs w:val="24"/>
        </w:rPr>
        <w:t>Revista Iberoamericana de Diagnóstico y Evaluación - e Avaliação Psicológica, 1</w:t>
      </w:r>
      <w:r>
        <w:rPr>
          <w:rFonts w:ascii="Arial" w:hAnsi="Arial" w:cs="Arial"/>
          <w:sz w:val="24"/>
          <w:szCs w:val="24"/>
        </w:rPr>
        <w:t xml:space="preserve">(62), 5-15. </w:t>
      </w:r>
      <w:hyperlink r:id="rId50" w:history="1">
        <w:r>
          <w:rPr>
            <w:rStyle w:val="Hipervnculo"/>
            <w:rFonts w:ascii="Arial" w:hAnsi="Arial" w:cs="Arial"/>
            <w:sz w:val="24"/>
            <w:szCs w:val="24"/>
          </w:rPr>
          <w:t>https://doi.org/10.21865/RIDEP62.1.01</w:t>
        </w:r>
      </w:hyperlink>
    </w:p>
    <w:p w14:paraId="7E82EDB0" w14:textId="77777777" w:rsidR="0093626A" w:rsidRDefault="0093626A" w:rsidP="005915A7">
      <w:pPr>
        <w:spacing w:after="0" w:line="360" w:lineRule="auto"/>
        <w:ind w:left="567" w:hanging="567"/>
        <w:jc w:val="both"/>
        <w:rPr>
          <w:rFonts w:ascii="Arial" w:hAnsi="Arial" w:cs="Arial"/>
          <w:sz w:val="24"/>
          <w:szCs w:val="24"/>
        </w:rPr>
      </w:pPr>
    </w:p>
    <w:p w14:paraId="7FE57218" w14:textId="77777777" w:rsidR="0093626A" w:rsidRDefault="00000000" w:rsidP="005915A7">
      <w:pPr>
        <w:spacing w:after="0" w:line="360" w:lineRule="auto"/>
        <w:ind w:left="567" w:hanging="567"/>
        <w:jc w:val="both"/>
        <w:rPr>
          <w:rFonts w:ascii="Arial" w:hAnsi="Arial" w:cs="Arial"/>
          <w:sz w:val="24"/>
          <w:szCs w:val="24"/>
        </w:rPr>
      </w:pPr>
      <w:r>
        <w:rPr>
          <w:rFonts w:ascii="Arial" w:hAnsi="Arial" w:cs="Arial"/>
          <w:sz w:val="24"/>
          <w:szCs w:val="24"/>
        </w:rPr>
        <w:t xml:space="preserve">Doral, F., Rodríguez, I. y Meseguer, A. (2018). Modelos de ecuaciones estructurales en investigaciones de ciencias sociales: Experiencia de uso en Facebook. </w:t>
      </w:r>
      <w:r>
        <w:rPr>
          <w:rFonts w:ascii="Arial" w:hAnsi="Arial" w:cs="Arial"/>
          <w:i/>
          <w:sz w:val="24"/>
          <w:szCs w:val="24"/>
        </w:rPr>
        <w:t>Revista De Ciencias Sociales, 24</w:t>
      </w:r>
      <w:r>
        <w:rPr>
          <w:rFonts w:ascii="Arial" w:hAnsi="Arial" w:cs="Arial"/>
          <w:sz w:val="24"/>
          <w:szCs w:val="24"/>
        </w:rPr>
        <w:t>(1), 22-40. https://doi.org/10.31876/rcs.v24i1.24925</w:t>
      </w:r>
    </w:p>
    <w:p w14:paraId="2056F7FC" w14:textId="77777777" w:rsidR="0093626A" w:rsidRDefault="0093626A" w:rsidP="005915A7">
      <w:pPr>
        <w:spacing w:after="0" w:line="360" w:lineRule="auto"/>
        <w:jc w:val="both"/>
        <w:rPr>
          <w:rFonts w:ascii="Arial" w:hAnsi="Arial" w:cs="Arial"/>
          <w:sz w:val="24"/>
          <w:szCs w:val="24"/>
        </w:rPr>
      </w:pPr>
    </w:p>
    <w:p w14:paraId="43743C5D" w14:textId="77777777" w:rsidR="0093626A" w:rsidRDefault="00000000" w:rsidP="005915A7">
      <w:pPr>
        <w:spacing w:after="0" w:line="360" w:lineRule="auto"/>
        <w:ind w:left="567" w:hanging="567"/>
        <w:jc w:val="both"/>
        <w:rPr>
          <w:rFonts w:ascii="Arial" w:hAnsi="Arial" w:cs="Arial"/>
          <w:sz w:val="24"/>
          <w:szCs w:val="24"/>
        </w:rPr>
      </w:pPr>
      <w:r>
        <w:rPr>
          <w:rFonts w:ascii="Arial" w:hAnsi="Arial" w:cs="Arial"/>
          <w:sz w:val="24"/>
          <w:szCs w:val="24"/>
        </w:rPr>
        <w:t xml:space="preserve">Goyzueta, S. I. (2021). Factores de impacto en el aprendizaje virtual en los estudiantes de la Universidad Católica Boliviana “San Pablo” Regional Cochabamba. </w:t>
      </w:r>
      <w:r>
        <w:rPr>
          <w:rFonts w:ascii="Arial" w:hAnsi="Arial" w:cs="Arial"/>
          <w:i/>
          <w:iCs/>
          <w:sz w:val="24"/>
          <w:szCs w:val="24"/>
        </w:rPr>
        <w:t>Revista De Propuestas Educativas, 3</w:t>
      </w:r>
      <w:r>
        <w:rPr>
          <w:rFonts w:ascii="Arial" w:hAnsi="Arial" w:cs="Arial"/>
          <w:sz w:val="24"/>
          <w:szCs w:val="24"/>
        </w:rPr>
        <w:t xml:space="preserve">(5), 10–42. </w:t>
      </w:r>
      <w:hyperlink r:id="rId51" w:history="1">
        <w:r>
          <w:rPr>
            <w:rStyle w:val="Hipervnculo"/>
            <w:rFonts w:ascii="Arial" w:hAnsi="Arial" w:cs="Arial"/>
            <w:sz w:val="24"/>
            <w:szCs w:val="24"/>
          </w:rPr>
          <w:t>https://doi.org/10.33996/propuestas.v3i5.249</w:t>
        </w:r>
      </w:hyperlink>
    </w:p>
    <w:p w14:paraId="5D3C9001" w14:textId="77777777" w:rsidR="0093626A" w:rsidRDefault="0093626A" w:rsidP="005915A7">
      <w:pPr>
        <w:spacing w:after="0" w:line="360" w:lineRule="auto"/>
        <w:ind w:left="567" w:hanging="567"/>
        <w:jc w:val="both"/>
        <w:rPr>
          <w:rFonts w:ascii="Arial" w:hAnsi="Arial" w:cs="Arial"/>
          <w:sz w:val="24"/>
          <w:szCs w:val="24"/>
        </w:rPr>
      </w:pPr>
    </w:p>
    <w:p w14:paraId="776D567E" w14:textId="77777777" w:rsidR="0093626A" w:rsidRDefault="00000000" w:rsidP="005915A7">
      <w:pPr>
        <w:spacing w:after="0" w:line="360" w:lineRule="auto"/>
        <w:ind w:left="567" w:hanging="567"/>
        <w:jc w:val="both"/>
        <w:rPr>
          <w:rFonts w:ascii="Arial" w:hAnsi="Arial" w:cs="Arial"/>
          <w:sz w:val="24"/>
          <w:szCs w:val="24"/>
        </w:rPr>
      </w:pPr>
      <w:r>
        <w:rPr>
          <w:rFonts w:ascii="Arial" w:hAnsi="Arial" w:cs="Arial"/>
          <w:sz w:val="24"/>
          <w:szCs w:val="24"/>
        </w:rPr>
        <w:t xml:space="preserve">Mejia-Giraldo, J. F. y Arango-Román, A. (2023). El consumo responsable como un desafío social. </w:t>
      </w:r>
      <w:r>
        <w:rPr>
          <w:rFonts w:ascii="Arial" w:hAnsi="Arial" w:cs="Arial"/>
          <w:i/>
          <w:iCs/>
          <w:sz w:val="24"/>
          <w:szCs w:val="24"/>
        </w:rPr>
        <w:t>Sociedad y economía</w:t>
      </w:r>
      <w:r>
        <w:rPr>
          <w:rFonts w:ascii="Arial" w:hAnsi="Arial" w:cs="Arial"/>
          <w:sz w:val="24"/>
          <w:szCs w:val="24"/>
        </w:rPr>
        <w:t>, (48), e10811954. https://doi.org/10.25100/sye.v0i48.11954</w:t>
      </w:r>
    </w:p>
    <w:p w14:paraId="389C21B3" w14:textId="77777777" w:rsidR="0093626A" w:rsidRDefault="0093626A" w:rsidP="005915A7">
      <w:pPr>
        <w:spacing w:after="0" w:line="360" w:lineRule="auto"/>
        <w:ind w:left="567" w:hanging="567"/>
        <w:jc w:val="both"/>
        <w:rPr>
          <w:rFonts w:ascii="Arial" w:hAnsi="Arial" w:cs="Arial"/>
          <w:sz w:val="24"/>
          <w:szCs w:val="24"/>
        </w:rPr>
      </w:pPr>
    </w:p>
    <w:p w14:paraId="58C5A8AB" w14:textId="77777777" w:rsidR="0093626A" w:rsidRDefault="00000000" w:rsidP="005915A7">
      <w:pPr>
        <w:spacing w:after="0" w:line="360" w:lineRule="auto"/>
        <w:ind w:left="567" w:hanging="567"/>
        <w:jc w:val="both"/>
        <w:rPr>
          <w:rFonts w:ascii="Arial" w:hAnsi="Arial" w:cs="Arial"/>
          <w:sz w:val="24"/>
          <w:szCs w:val="24"/>
        </w:rPr>
      </w:pPr>
      <w:r>
        <w:rPr>
          <w:rFonts w:ascii="Arial" w:hAnsi="Arial" w:cs="Arial"/>
          <w:sz w:val="24"/>
          <w:szCs w:val="24"/>
        </w:rPr>
        <w:t xml:space="preserve">Moscoso MG, Villarreal-Zegarra D, Castillo R, Bellido-Boza L, Mezones-Holguín E. Validez y confiabilidad de la escala de satisfacción de los usuarios de consulta médica ambulatoria en Perú. </w:t>
      </w:r>
      <w:r>
        <w:rPr>
          <w:rFonts w:ascii="Arial" w:hAnsi="Arial" w:cs="Arial"/>
          <w:i/>
          <w:iCs/>
          <w:sz w:val="24"/>
          <w:szCs w:val="24"/>
        </w:rPr>
        <w:t>Revista Peruana de Medicina Experimental y Salud Pública, 36</w:t>
      </w:r>
      <w:r>
        <w:rPr>
          <w:rFonts w:ascii="Arial" w:hAnsi="Arial" w:cs="Arial"/>
          <w:sz w:val="24"/>
          <w:szCs w:val="24"/>
        </w:rPr>
        <w:t xml:space="preserve">(2), 167-77. </w:t>
      </w:r>
      <w:hyperlink r:id="rId52" w:history="1">
        <w:r>
          <w:rPr>
            <w:rStyle w:val="Hipervnculo"/>
            <w:rFonts w:ascii="Arial" w:hAnsi="Arial" w:cs="Arial"/>
            <w:sz w:val="24"/>
            <w:szCs w:val="24"/>
          </w:rPr>
          <w:t>http://dx.doi.org/10.17843/rpmesp.2019.362.4621</w:t>
        </w:r>
      </w:hyperlink>
      <w:r>
        <w:rPr>
          <w:rFonts w:ascii="Arial" w:hAnsi="Arial" w:cs="Arial"/>
          <w:sz w:val="24"/>
          <w:szCs w:val="24"/>
        </w:rPr>
        <w:t>.</w:t>
      </w:r>
    </w:p>
    <w:p w14:paraId="31E47D64" w14:textId="77777777" w:rsidR="0093626A" w:rsidRDefault="0093626A" w:rsidP="005915A7">
      <w:pPr>
        <w:spacing w:after="0" w:line="360" w:lineRule="auto"/>
        <w:ind w:left="567" w:hanging="567"/>
        <w:jc w:val="both"/>
        <w:rPr>
          <w:rFonts w:ascii="Arial" w:hAnsi="Arial" w:cs="Arial"/>
          <w:sz w:val="24"/>
          <w:szCs w:val="24"/>
        </w:rPr>
      </w:pPr>
    </w:p>
    <w:p w14:paraId="25AB33EE" w14:textId="77777777" w:rsidR="0093626A" w:rsidRDefault="00000000" w:rsidP="005915A7">
      <w:pPr>
        <w:spacing w:after="0" w:line="360" w:lineRule="auto"/>
        <w:ind w:left="567" w:hanging="567"/>
        <w:jc w:val="both"/>
        <w:rPr>
          <w:rFonts w:ascii="Arial" w:hAnsi="Arial" w:cs="Arial"/>
          <w:sz w:val="24"/>
          <w:szCs w:val="24"/>
          <w:highlight w:val="yellow"/>
        </w:rPr>
      </w:pPr>
      <w:r>
        <w:rPr>
          <w:rFonts w:ascii="Arial" w:hAnsi="Arial" w:cs="Arial"/>
          <w:sz w:val="24"/>
          <w:szCs w:val="24"/>
        </w:rPr>
        <w:t>Padilla, J.A., Cruz, C. y Cruz, C. E. (2021). Tú Me Haces Mejor/Peor Persona: Validación del Relational Self-Change Scale en Población Mexicana</w:t>
      </w:r>
      <w:r>
        <w:rPr>
          <w:rFonts w:ascii="Arial" w:hAnsi="Arial" w:cs="Arial"/>
          <w:i/>
          <w:iCs/>
          <w:sz w:val="24"/>
          <w:szCs w:val="24"/>
        </w:rPr>
        <w:t>. Acta de investigación psicológica, 11</w:t>
      </w:r>
      <w:r>
        <w:rPr>
          <w:rFonts w:ascii="Arial" w:hAnsi="Arial" w:cs="Arial"/>
          <w:sz w:val="24"/>
          <w:szCs w:val="24"/>
        </w:rPr>
        <w:t>(2), 24-38. https://doi.org/10.22201/fpsi.20074719e.2021.2.380</w:t>
      </w:r>
    </w:p>
    <w:p w14:paraId="33F3F9B1" w14:textId="77777777" w:rsidR="0093626A" w:rsidRDefault="0093626A" w:rsidP="005915A7">
      <w:pPr>
        <w:spacing w:after="0" w:line="360" w:lineRule="auto"/>
        <w:ind w:left="567" w:hanging="567"/>
        <w:jc w:val="both"/>
        <w:rPr>
          <w:rFonts w:ascii="Arial" w:hAnsi="Arial" w:cs="Arial"/>
          <w:sz w:val="24"/>
          <w:szCs w:val="24"/>
          <w:highlight w:val="yellow"/>
        </w:rPr>
      </w:pPr>
    </w:p>
    <w:p w14:paraId="31BED90A" w14:textId="77777777" w:rsidR="0093626A" w:rsidRDefault="00000000" w:rsidP="005915A7">
      <w:pPr>
        <w:spacing w:after="0" w:line="360" w:lineRule="auto"/>
        <w:ind w:left="567" w:hanging="567"/>
        <w:jc w:val="both"/>
        <w:rPr>
          <w:rStyle w:val="Hipervnculo"/>
          <w:rFonts w:ascii="Arial" w:hAnsi="Arial" w:cs="Arial"/>
          <w:sz w:val="24"/>
          <w:szCs w:val="24"/>
        </w:rPr>
      </w:pPr>
      <w:r>
        <w:rPr>
          <w:rFonts w:ascii="Arial" w:hAnsi="Arial" w:cs="Arial"/>
          <w:sz w:val="24"/>
          <w:szCs w:val="24"/>
        </w:rPr>
        <w:t xml:space="preserve">Padilla-Bautista, J., Díaz-Loving, R., Reyes-Lagunes, I., Cruz-Torres, C., y Padilla-Gámez, N. (2018). Locus de control en la elección de pareja: Una validación etnopsicométrica. </w:t>
      </w:r>
      <w:r>
        <w:rPr>
          <w:rFonts w:ascii="Arial" w:hAnsi="Arial" w:cs="Arial"/>
          <w:i/>
          <w:sz w:val="24"/>
          <w:szCs w:val="24"/>
        </w:rPr>
        <w:t>Revista De Psicología, 36</w:t>
      </w:r>
      <w:r>
        <w:rPr>
          <w:rFonts w:ascii="Arial" w:hAnsi="Arial" w:cs="Arial"/>
          <w:sz w:val="24"/>
          <w:szCs w:val="24"/>
        </w:rPr>
        <w:t xml:space="preserve">(1), 217-238. </w:t>
      </w:r>
      <w:hyperlink r:id="rId53" w:history="1">
        <w:r>
          <w:rPr>
            <w:rStyle w:val="Hipervnculo"/>
            <w:rFonts w:ascii="Arial" w:hAnsi="Arial" w:cs="Arial"/>
            <w:sz w:val="24"/>
            <w:szCs w:val="24"/>
          </w:rPr>
          <w:t>https://doi.org/10.18800/psico.201801.008</w:t>
        </w:r>
      </w:hyperlink>
    </w:p>
    <w:p w14:paraId="01991107" w14:textId="77777777" w:rsidR="0093626A" w:rsidRDefault="0093626A" w:rsidP="005915A7">
      <w:pPr>
        <w:spacing w:after="0" w:line="360" w:lineRule="auto"/>
        <w:ind w:left="567" w:hanging="567"/>
        <w:jc w:val="both"/>
        <w:rPr>
          <w:rStyle w:val="Hipervnculo"/>
          <w:rFonts w:ascii="Arial" w:hAnsi="Arial" w:cs="Arial"/>
          <w:sz w:val="24"/>
          <w:szCs w:val="24"/>
        </w:rPr>
      </w:pPr>
    </w:p>
    <w:p w14:paraId="682EFC74" w14:textId="77777777" w:rsidR="0093626A" w:rsidRDefault="00000000" w:rsidP="005915A7">
      <w:pPr>
        <w:spacing w:after="0" w:line="360" w:lineRule="auto"/>
        <w:ind w:left="567" w:hanging="567"/>
        <w:jc w:val="both"/>
        <w:rPr>
          <w:rFonts w:ascii="Arial" w:hAnsi="Arial" w:cs="Arial"/>
          <w:sz w:val="24"/>
          <w:szCs w:val="24"/>
        </w:rPr>
      </w:pPr>
      <w:r>
        <w:rPr>
          <w:rFonts w:ascii="Arial" w:hAnsi="Arial" w:cs="Arial"/>
          <w:sz w:val="24"/>
          <w:szCs w:val="24"/>
        </w:rPr>
        <w:lastRenderedPageBreak/>
        <w:t xml:space="preserve">Pascual, M.  I., Peñalosa, M.  E.  y López, D.  M.  (2015).  El consumo socialmente responsable en el mercado colombiano. </w:t>
      </w:r>
      <w:r>
        <w:rPr>
          <w:rFonts w:ascii="Arial" w:hAnsi="Arial" w:cs="Arial"/>
          <w:i/>
          <w:iCs/>
          <w:sz w:val="24"/>
          <w:szCs w:val="24"/>
        </w:rPr>
        <w:t>Cuadernos Latinoamericanos de Administración, 11</w:t>
      </w:r>
      <w:r>
        <w:rPr>
          <w:rFonts w:ascii="Arial" w:hAnsi="Arial" w:cs="Arial"/>
          <w:sz w:val="24"/>
          <w:szCs w:val="24"/>
        </w:rPr>
        <w:t>(20), 61-70.</w:t>
      </w:r>
    </w:p>
    <w:p w14:paraId="6D97CFD9" w14:textId="77777777" w:rsidR="0093626A" w:rsidRDefault="0093626A" w:rsidP="005915A7">
      <w:pPr>
        <w:spacing w:after="0" w:line="360" w:lineRule="auto"/>
        <w:ind w:left="567" w:hanging="567"/>
        <w:jc w:val="both"/>
        <w:rPr>
          <w:rFonts w:ascii="Arial" w:hAnsi="Arial" w:cs="Arial"/>
          <w:sz w:val="24"/>
          <w:szCs w:val="24"/>
        </w:rPr>
      </w:pPr>
    </w:p>
    <w:p w14:paraId="740D97BD" w14:textId="77777777" w:rsidR="0093626A" w:rsidRDefault="00000000" w:rsidP="005915A7">
      <w:pPr>
        <w:spacing w:after="0" w:line="360" w:lineRule="auto"/>
        <w:ind w:left="567" w:hanging="567"/>
        <w:jc w:val="both"/>
        <w:rPr>
          <w:rFonts w:ascii="Arial" w:hAnsi="Arial" w:cs="Arial"/>
          <w:sz w:val="24"/>
          <w:szCs w:val="24"/>
        </w:rPr>
      </w:pPr>
      <w:r>
        <w:rPr>
          <w:rFonts w:ascii="Arial" w:hAnsi="Arial" w:cs="Arial"/>
          <w:sz w:val="24"/>
          <w:szCs w:val="24"/>
        </w:rPr>
        <w:t xml:space="preserve">Regalado, O., Guerrero, C. A y Montalvo, R. F. (2017). Una aplicación de la teoría del comportamiento planificado al segmento masculino latinoamericano de productos de cuidado personal. </w:t>
      </w:r>
      <w:r>
        <w:rPr>
          <w:rFonts w:ascii="Arial" w:hAnsi="Arial" w:cs="Arial"/>
          <w:i/>
          <w:iCs/>
          <w:sz w:val="24"/>
          <w:szCs w:val="24"/>
        </w:rPr>
        <w:t>Revista EAN, 83</w:t>
      </w:r>
      <w:r>
        <w:rPr>
          <w:rFonts w:ascii="Arial" w:hAnsi="Arial" w:cs="Arial"/>
          <w:sz w:val="24"/>
          <w:szCs w:val="24"/>
        </w:rPr>
        <w:t>, 141- 163. https:// doi.org/10.21158/01208160.n83.2017.1821</w:t>
      </w:r>
    </w:p>
    <w:p w14:paraId="48831AAE" w14:textId="77777777" w:rsidR="0093626A" w:rsidRDefault="0093626A" w:rsidP="005915A7">
      <w:pPr>
        <w:spacing w:after="0" w:line="360" w:lineRule="auto"/>
        <w:ind w:left="567" w:hanging="567"/>
        <w:jc w:val="both"/>
        <w:rPr>
          <w:rFonts w:ascii="Arial" w:hAnsi="Arial" w:cs="Arial"/>
          <w:sz w:val="24"/>
          <w:szCs w:val="24"/>
        </w:rPr>
      </w:pPr>
    </w:p>
    <w:p w14:paraId="68A36A23" w14:textId="77777777" w:rsidR="0093626A" w:rsidRDefault="00000000" w:rsidP="005915A7">
      <w:pPr>
        <w:spacing w:after="0" w:line="360" w:lineRule="auto"/>
        <w:ind w:left="567" w:hanging="567"/>
        <w:jc w:val="both"/>
        <w:rPr>
          <w:rFonts w:ascii="Arial" w:hAnsi="Arial" w:cs="Arial"/>
          <w:sz w:val="24"/>
          <w:szCs w:val="24"/>
        </w:rPr>
      </w:pPr>
      <w:r>
        <w:rPr>
          <w:rFonts w:ascii="Arial" w:hAnsi="Arial" w:cs="Arial"/>
          <w:sz w:val="24"/>
          <w:szCs w:val="24"/>
        </w:rPr>
        <w:t xml:space="preserve">Reyes-González, D. y Martín-García, A. V. (2016). Creencias de docentes en formación que afectan el uso de recursos tecnológicos. </w:t>
      </w:r>
      <w:r>
        <w:rPr>
          <w:rFonts w:ascii="Arial" w:hAnsi="Arial" w:cs="Arial"/>
          <w:i/>
          <w:iCs/>
          <w:sz w:val="24"/>
          <w:szCs w:val="24"/>
        </w:rPr>
        <w:t>Ciencia, docencia y tecnología</w:t>
      </w:r>
      <w:r>
        <w:rPr>
          <w:rFonts w:ascii="Arial" w:hAnsi="Arial" w:cs="Arial"/>
          <w:sz w:val="24"/>
          <w:szCs w:val="24"/>
        </w:rPr>
        <w:t>, (53), 293-314.</w:t>
      </w:r>
    </w:p>
    <w:p w14:paraId="602BB441" w14:textId="77777777" w:rsidR="0093626A" w:rsidRDefault="0093626A" w:rsidP="005915A7">
      <w:pPr>
        <w:spacing w:after="0" w:line="360" w:lineRule="auto"/>
        <w:ind w:left="567" w:hanging="567"/>
        <w:jc w:val="both"/>
        <w:rPr>
          <w:rFonts w:ascii="Arial" w:hAnsi="Arial" w:cs="Arial"/>
          <w:sz w:val="24"/>
          <w:szCs w:val="24"/>
        </w:rPr>
      </w:pPr>
    </w:p>
    <w:p w14:paraId="07AEFEE7" w14:textId="77777777" w:rsidR="0093626A" w:rsidRDefault="00000000" w:rsidP="005915A7">
      <w:pPr>
        <w:spacing w:after="0" w:line="360" w:lineRule="auto"/>
        <w:ind w:left="567" w:hanging="567"/>
        <w:jc w:val="both"/>
        <w:rPr>
          <w:rFonts w:ascii="Arial" w:hAnsi="Arial" w:cs="Arial"/>
          <w:sz w:val="24"/>
          <w:szCs w:val="24"/>
        </w:rPr>
      </w:pPr>
      <w:r>
        <w:rPr>
          <w:rFonts w:ascii="Arial" w:hAnsi="Arial" w:cs="Arial"/>
          <w:sz w:val="24"/>
          <w:szCs w:val="24"/>
        </w:rPr>
        <w:t xml:space="preserve">Reyes-Ramírez, L. A., Leyva-del Toro, C., Pérez-Campdesuñer, R. y Sánchez-Rodríguez, A. (2022). Variables de la responsabilidad social corporativa. Un modelo de ecuaciones estructurales. Retos </w:t>
      </w:r>
      <w:r>
        <w:rPr>
          <w:rFonts w:ascii="Arial" w:hAnsi="Arial" w:cs="Arial"/>
          <w:i/>
          <w:sz w:val="24"/>
          <w:szCs w:val="24"/>
        </w:rPr>
        <w:t>Revista de Ciencias de la Administración y Economía, 12</w:t>
      </w:r>
      <w:r>
        <w:rPr>
          <w:rFonts w:ascii="Arial" w:hAnsi="Arial" w:cs="Arial"/>
          <w:sz w:val="24"/>
          <w:szCs w:val="24"/>
        </w:rPr>
        <w:t xml:space="preserve">(24), 286-305. </w:t>
      </w:r>
      <w:hyperlink r:id="rId54" w:history="1">
        <w:r>
          <w:rPr>
            <w:rStyle w:val="Hipervnculo"/>
            <w:rFonts w:ascii="Arial" w:hAnsi="Arial" w:cs="Arial"/>
            <w:sz w:val="24"/>
            <w:szCs w:val="24"/>
          </w:rPr>
          <w:t>https://doi.org/10.17163/ret.n24.2022.06</w:t>
        </w:r>
      </w:hyperlink>
    </w:p>
    <w:p w14:paraId="5F759CDD" w14:textId="77777777" w:rsidR="0093626A" w:rsidRDefault="0093626A" w:rsidP="005915A7">
      <w:pPr>
        <w:spacing w:after="0" w:line="360" w:lineRule="auto"/>
        <w:jc w:val="both"/>
        <w:rPr>
          <w:rFonts w:ascii="Arial" w:hAnsi="Arial" w:cs="Arial"/>
          <w:sz w:val="24"/>
          <w:szCs w:val="24"/>
        </w:rPr>
      </w:pPr>
    </w:p>
    <w:p w14:paraId="3E0FA5EC" w14:textId="77777777" w:rsidR="0093626A" w:rsidRDefault="00000000" w:rsidP="005915A7">
      <w:pPr>
        <w:spacing w:after="0" w:line="360" w:lineRule="auto"/>
        <w:ind w:left="567" w:hanging="567"/>
        <w:jc w:val="both"/>
        <w:rPr>
          <w:rFonts w:ascii="Arial" w:hAnsi="Arial" w:cs="Arial"/>
          <w:sz w:val="24"/>
          <w:szCs w:val="24"/>
        </w:rPr>
      </w:pPr>
      <w:r>
        <w:rPr>
          <w:rFonts w:ascii="Arial" w:hAnsi="Arial" w:cs="Arial"/>
          <w:sz w:val="24"/>
          <w:szCs w:val="24"/>
        </w:rPr>
        <w:t xml:space="preserve">Sánchez, J. A. y Loyola, J. (2021). Análisis bibliométrico de las generaciones etarias. </w:t>
      </w:r>
      <w:r>
        <w:rPr>
          <w:rFonts w:ascii="Arial" w:hAnsi="Arial" w:cs="Arial"/>
          <w:i/>
          <w:iCs/>
          <w:sz w:val="24"/>
          <w:szCs w:val="24"/>
        </w:rPr>
        <w:t>Revista gestión de las personas y tecnología, 14</w:t>
      </w:r>
      <w:r>
        <w:rPr>
          <w:rFonts w:ascii="Arial" w:hAnsi="Arial" w:cs="Arial"/>
          <w:sz w:val="24"/>
          <w:szCs w:val="24"/>
        </w:rPr>
        <w:t>(42), 43-67. https://dx.doi.org/10.35588/gpt.v15i42.5282</w:t>
      </w:r>
    </w:p>
    <w:p w14:paraId="795D2E31" w14:textId="77777777" w:rsidR="0093626A" w:rsidRDefault="0093626A" w:rsidP="005915A7">
      <w:pPr>
        <w:spacing w:after="0" w:line="360" w:lineRule="auto"/>
        <w:jc w:val="both"/>
        <w:rPr>
          <w:rFonts w:ascii="Arial" w:hAnsi="Arial" w:cs="Arial"/>
          <w:sz w:val="24"/>
          <w:szCs w:val="24"/>
        </w:rPr>
      </w:pPr>
    </w:p>
    <w:p w14:paraId="06C1F761" w14:textId="77777777" w:rsidR="0093626A" w:rsidRDefault="00000000" w:rsidP="005915A7">
      <w:pPr>
        <w:spacing w:after="0" w:line="360" w:lineRule="auto"/>
        <w:ind w:left="567" w:hanging="567"/>
        <w:jc w:val="both"/>
        <w:rPr>
          <w:rFonts w:ascii="Arial" w:hAnsi="Arial" w:cs="Arial"/>
          <w:sz w:val="24"/>
          <w:szCs w:val="24"/>
          <w:lang w:val="en-US"/>
        </w:rPr>
      </w:pPr>
      <w:r>
        <w:rPr>
          <w:rFonts w:ascii="Arial" w:hAnsi="Arial" w:cs="Arial"/>
          <w:sz w:val="24"/>
          <w:szCs w:val="24"/>
        </w:rPr>
        <w:t xml:space="preserve">Saylan, E. y Soyyiğit V. (2023). </w:t>
      </w:r>
      <w:r>
        <w:rPr>
          <w:rFonts w:ascii="Arial" w:hAnsi="Arial" w:cs="Arial"/>
          <w:sz w:val="24"/>
          <w:szCs w:val="24"/>
          <w:lang w:val="en-US"/>
        </w:rPr>
        <w:t xml:space="preserve">Body image among adolescents: what is its relationship with rejection sensitivity and self-efficacy? </w:t>
      </w:r>
      <w:r>
        <w:rPr>
          <w:rFonts w:ascii="Arial" w:hAnsi="Arial" w:cs="Arial"/>
          <w:i/>
          <w:iCs/>
          <w:sz w:val="24"/>
          <w:szCs w:val="24"/>
          <w:lang w:val="en-US"/>
        </w:rPr>
        <w:t>Clinical Child Psychology and Psychiatry</w:t>
      </w:r>
      <w:r>
        <w:rPr>
          <w:rFonts w:ascii="Arial" w:hAnsi="Arial" w:cs="Arial"/>
          <w:sz w:val="24"/>
          <w:szCs w:val="24"/>
          <w:lang w:val="en-US"/>
        </w:rPr>
        <w:t>. doi:10.1177/13591045231188411</w:t>
      </w:r>
    </w:p>
    <w:p w14:paraId="5A3BF52A" w14:textId="77777777" w:rsidR="0093626A" w:rsidRDefault="0093626A" w:rsidP="005915A7">
      <w:pPr>
        <w:spacing w:after="0" w:line="360" w:lineRule="auto"/>
        <w:ind w:left="567" w:hanging="567"/>
        <w:jc w:val="both"/>
        <w:rPr>
          <w:rFonts w:ascii="Arial" w:hAnsi="Arial" w:cs="Arial"/>
          <w:sz w:val="24"/>
          <w:szCs w:val="24"/>
          <w:lang w:val="en-US"/>
        </w:rPr>
      </w:pPr>
    </w:p>
    <w:p w14:paraId="49393D8D" w14:textId="77777777" w:rsidR="0093626A" w:rsidRDefault="00000000" w:rsidP="005915A7">
      <w:pPr>
        <w:spacing w:after="0" w:line="360" w:lineRule="auto"/>
        <w:ind w:left="567" w:hanging="567"/>
        <w:jc w:val="both"/>
        <w:rPr>
          <w:rFonts w:ascii="Arial" w:hAnsi="Arial" w:cs="Arial"/>
          <w:sz w:val="24"/>
          <w:szCs w:val="24"/>
          <w:lang w:val="en-US"/>
        </w:rPr>
      </w:pPr>
      <w:r>
        <w:rPr>
          <w:rFonts w:ascii="Arial" w:hAnsi="Arial" w:cs="Arial"/>
          <w:sz w:val="24"/>
          <w:szCs w:val="24"/>
          <w:lang w:val="en-US"/>
        </w:rPr>
        <w:t>Tambun, S. (2020). Pengaruh Pendemic Covid-19 Dan Global financial crisis Terhadap Upaya Reformasi Perpajakan Yang Dimoderasi Oleh Kebijakan Insentif Fiskal. Journal of business studies, 5(20), 1-23.</w:t>
      </w:r>
    </w:p>
    <w:p w14:paraId="33FB1647" w14:textId="77777777" w:rsidR="0093626A" w:rsidRDefault="0093626A" w:rsidP="005915A7">
      <w:pPr>
        <w:spacing w:after="0" w:line="360" w:lineRule="auto"/>
        <w:ind w:left="567" w:hanging="567"/>
        <w:jc w:val="both"/>
        <w:rPr>
          <w:rFonts w:ascii="Arial" w:hAnsi="Arial" w:cs="Arial"/>
          <w:sz w:val="24"/>
          <w:szCs w:val="24"/>
          <w:lang w:val="en-US"/>
        </w:rPr>
      </w:pPr>
    </w:p>
    <w:p w14:paraId="42926348" w14:textId="77777777" w:rsidR="0093626A" w:rsidRDefault="00000000" w:rsidP="005915A7">
      <w:pPr>
        <w:spacing w:after="0" w:line="360" w:lineRule="auto"/>
        <w:ind w:left="567" w:hanging="567"/>
        <w:jc w:val="both"/>
        <w:rPr>
          <w:rFonts w:ascii="Arial" w:hAnsi="Arial" w:cs="Arial"/>
          <w:sz w:val="24"/>
          <w:szCs w:val="24"/>
        </w:rPr>
      </w:pPr>
      <w:r>
        <w:rPr>
          <w:rFonts w:ascii="Arial" w:hAnsi="Arial" w:cs="Arial"/>
          <w:sz w:val="24"/>
          <w:szCs w:val="24"/>
          <w:lang w:val="en-US"/>
        </w:rPr>
        <w:lastRenderedPageBreak/>
        <w:t xml:space="preserve">Uribe-Macías, M. E., Vargas-Moreno, O. A., y Merchán-Paredes, L. (2018). </w:t>
      </w:r>
      <w:r>
        <w:rPr>
          <w:rFonts w:ascii="Arial" w:hAnsi="Arial" w:cs="Arial"/>
          <w:sz w:val="24"/>
          <w:szCs w:val="24"/>
        </w:rPr>
        <w:t xml:space="preserve">La responsabilidad social empresarial y la sostenibilidad, criterios habilitantes en la gerencia de proyectos. </w:t>
      </w:r>
      <w:r>
        <w:rPr>
          <w:rFonts w:ascii="Arial" w:hAnsi="Arial" w:cs="Arial"/>
          <w:i/>
          <w:iCs/>
          <w:sz w:val="24"/>
          <w:szCs w:val="24"/>
        </w:rPr>
        <w:t>Entramado, 14</w:t>
      </w:r>
      <w:r>
        <w:rPr>
          <w:rFonts w:ascii="Arial" w:hAnsi="Arial" w:cs="Arial"/>
          <w:sz w:val="24"/>
          <w:szCs w:val="24"/>
        </w:rPr>
        <w:t>(1), 52-63. https://doi.org/10.18041/entramado.2018v14n1.27107</w:t>
      </w:r>
    </w:p>
    <w:p w14:paraId="04F7918F" w14:textId="77777777" w:rsidR="0093626A" w:rsidRPr="00634580" w:rsidRDefault="0093626A" w:rsidP="00634580">
      <w:pPr>
        <w:spacing w:line="360" w:lineRule="auto"/>
        <w:rPr>
          <w:rFonts w:ascii="Arial" w:hAnsi="Arial" w:cs="Arial"/>
          <w:sz w:val="24"/>
          <w:szCs w:val="24"/>
        </w:rPr>
      </w:pPr>
    </w:p>
    <w:p w14:paraId="2897CA9B" w14:textId="77777777" w:rsidR="0093626A" w:rsidRPr="00634580" w:rsidRDefault="0093626A" w:rsidP="00634580">
      <w:pPr>
        <w:spacing w:line="360" w:lineRule="auto"/>
        <w:rPr>
          <w:rFonts w:ascii="Arial" w:hAnsi="Arial" w:cs="Arial"/>
          <w:sz w:val="24"/>
          <w:szCs w:val="24"/>
          <w:lang w:val="en-US"/>
        </w:rPr>
      </w:pPr>
    </w:p>
    <w:sectPr w:rsidR="0093626A" w:rsidRPr="0063458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2089C" w14:textId="77777777" w:rsidR="0026546F" w:rsidRDefault="0026546F">
      <w:pPr>
        <w:spacing w:line="240" w:lineRule="auto"/>
      </w:pPr>
      <w:r>
        <w:separator/>
      </w:r>
    </w:p>
  </w:endnote>
  <w:endnote w:type="continuationSeparator" w:id="0">
    <w:p w14:paraId="3E1E1A41" w14:textId="77777777" w:rsidR="0026546F" w:rsidRDefault="002654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Nova">
    <w:altName w:val="Arial"/>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7BAF6" w14:textId="77777777" w:rsidR="0026546F" w:rsidRDefault="0026546F">
      <w:pPr>
        <w:spacing w:after="0"/>
      </w:pPr>
      <w:r>
        <w:separator/>
      </w:r>
    </w:p>
  </w:footnote>
  <w:footnote w:type="continuationSeparator" w:id="0">
    <w:p w14:paraId="067BC26D" w14:textId="77777777" w:rsidR="0026546F" w:rsidRDefault="0026546F">
      <w:pPr>
        <w:spacing w:after="0"/>
      </w:pPr>
      <w:r>
        <w:continuationSeparator/>
      </w:r>
    </w:p>
  </w:footnote>
  <w:footnote w:id="1">
    <w:p w14:paraId="5DA0F062" w14:textId="77777777" w:rsidR="0093626A" w:rsidRDefault="00000000">
      <w:pPr>
        <w:pStyle w:val="Textonotapie"/>
      </w:pPr>
      <w:bookmarkStart w:id="14" w:name="_Hlk210137714"/>
      <w:r>
        <w:rPr>
          <w:rStyle w:val="Refdenotaalpie"/>
        </w:rPr>
        <w:footnoteRef/>
      </w:r>
      <w:r>
        <w:t xml:space="preserve"> Evaluación empoderamiento: Traducido libremente de la noción “</w:t>
      </w:r>
      <w:r>
        <w:rPr>
          <w:i/>
          <w:iCs/>
        </w:rPr>
        <w:t>Empowerment Evaluation</w:t>
      </w:r>
      <w:r>
        <w:t>”.</w:t>
      </w:r>
      <w:bookmarkEnd w:id="14"/>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B77A6"/>
    <w:multiLevelType w:val="multilevel"/>
    <w:tmpl w:val="116B77A6"/>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4D641C"/>
    <w:multiLevelType w:val="multilevel"/>
    <w:tmpl w:val="164D64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C8F2C86"/>
    <w:multiLevelType w:val="multilevel"/>
    <w:tmpl w:val="3C8F2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5EA6B31"/>
    <w:multiLevelType w:val="multilevel"/>
    <w:tmpl w:val="45EA6B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1F682F1"/>
    <w:multiLevelType w:val="multilevel"/>
    <w:tmpl w:val="51F682F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5B23346"/>
    <w:multiLevelType w:val="multilevel"/>
    <w:tmpl w:val="65B233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8FB4536"/>
    <w:multiLevelType w:val="multilevel"/>
    <w:tmpl w:val="68FB45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9273A85"/>
    <w:multiLevelType w:val="multilevel"/>
    <w:tmpl w:val="69273A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E6F69F4"/>
    <w:multiLevelType w:val="multilevel"/>
    <w:tmpl w:val="6E6F69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07328770">
    <w:abstractNumId w:val="7"/>
  </w:num>
  <w:num w:numId="2" w16cid:durableId="234779987">
    <w:abstractNumId w:val="6"/>
  </w:num>
  <w:num w:numId="3" w16cid:durableId="1173765656">
    <w:abstractNumId w:val="3"/>
  </w:num>
  <w:num w:numId="4" w16cid:durableId="1421099559">
    <w:abstractNumId w:val="8"/>
  </w:num>
  <w:num w:numId="5" w16cid:durableId="982388662">
    <w:abstractNumId w:val="1"/>
  </w:num>
  <w:num w:numId="6" w16cid:durableId="1051422937">
    <w:abstractNumId w:val="2"/>
  </w:num>
  <w:num w:numId="7" w16cid:durableId="567349320">
    <w:abstractNumId w:val="4"/>
  </w:num>
  <w:num w:numId="8" w16cid:durableId="1599606364">
    <w:abstractNumId w:val="0"/>
  </w:num>
  <w:num w:numId="9" w16cid:durableId="165841165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NCY NOHEMI HERRERA BALDERAS">
    <w15:presenceInfo w15:providerId="AD" w15:userId="S::nancy.herrera@edu.uag.mx::90feb9c2-7b32-4458-ade0-7964d2b491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D75"/>
    <w:rsid w:val="000745DC"/>
    <w:rsid w:val="00096C30"/>
    <w:rsid w:val="000A5C43"/>
    <w:rsid w:val="00105108"/>
    <w:rsid w:val="001060A6"/>
    <w:rsid w:val="00207C3B"/>
    <w:rsid w:val="00213789"/>
    <w:rsid w:val="0026546F"/>
    <w:rsid w:val="0028464D"/>
    <w:rsid w:val="00307BEE"/>
    <w:rsid w:val="00332E53"/>
    <w:rsid w:val="00384231"/>
    <w:rsid w:val="003B48E3"/>
    <w:rsid w:val="00401FB7"/>
    <w:rsid w:val="004267F7"/>
    <w:rsid w:val="004530B0"/>
    <w:rsid w:val="00456D5C"/>
    <w:rsid w:val="004848E1"/>
    <w:rsid w:val="005915A7"/>
    <w:rsid w:val="005A6C87"/>
    <w:rsid w:val="00634580"/>
    <w:rsid w:val="006629C8"/>
    <w:rsid w:val="00673937"/>
    <w:rsid w:val="006E7A7E"/>
    <w:rsid w:val="00724F3D"/>
    <w:rsid w:val="00742951"/>
    <w:rsid w:val="007502FD"/>
    <w:rsid w:val="00766C4B"/>
    <w:rsid w:val="0088669D"/>
    <w:rsid w:val="00907CDF"/>
    <w:rsid w:val="00910279"/>
    <w:rsid w:val="0093626A"/>
    <w:rsid w:val="00954E19"/>
    <w:rsid w:val="009F4215"/>
    <w:rsid w:val="00A203C2"/>
    <w:rsid w:val="00A27B35"/>
    <w:rsid w:val="00A94640"/>
    <w:rsid w:val="00AE3630"/>
    <w:rsid w:val="00AF276D"/>
    <w:rsid w:val="00B80130"/>
    <w:rsid w:val="00B827DF"/>
    <w:rsid w:val="00B97F1C"/>
    <w:rsid w:val="00BA7C00"/>
    <w:rsid w:val="00BC3624"/>
    <w:rsid w:val="00BE546F"/>
    <w:rsid w:val="00C31F25"/>
    <w:rsid w:val="00C676A6"/>
    <w:rsid w:val="00C87DF0"/>
    <w:rsid w:val="00C90B36"/>
    <w:rsid w:val="00D12454"/>
    <w:rsid w:val="00D65DB2"/>
    <w:rsid w:val="00D73D75"/>
    <w:rsid w:val="00D92AB5"/>
    <w:rsid w:val="00D92D98"/>
    <w:rsid w:val="00DC7F6E"/>
    <w:rsid w:val="00DD30AF"/>
    <w:rsid w:val="00DD3C0F"/>
    <w:rsid w:val="00E124A8"/>
    <w:rsid w:val="00E60B88"/>
    <w:rsid w:val="00E62A65"/>
    <w:rsid w:val="00EA7FE6"/>
    <w:rsid w:val="00EC4E7B"/>
    <w:rsid w:val="00F82AA9"/>
    <w:rsid w:val="00F83CBD"/>
    <w:rsid w:val="00FA3DAB"/>
    <w:rsid w:val="00FF4915"/>
    <w:rsid w:val="17140191"/>
    <w:rsid w:val="237E030D"/>
    <w:rsid w:val="35771BC5"/>
    <w:rsid w:val="3A0276CE"/>
    <w:rsid w:val="471E787B"/>
    <w:rsid w:val="4F8C310F"/>
    <w:rsid w:val="5AEA0552"/>
    <w:rsid w:val="649966BB"/>
    <w:rsid w:val="72FF663B"/>
    <w:rsid w:val="7BF5728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E4EEFCD"/>
  <w15:docId w15:val="{3AD2095F-5B10-476F-8289-FFAD7C07A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Ttulo1">
    <w:name w:val="heading 1"/>
    <w:basedOn w:val="Normal"/>
    <w:next w:val="Normal"/>
    <w:link w:val="Ttulo1Car"/>
    <w:uiPriority w:val="9"/>
    <w:qFormat/>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s-ES"/>
    </w:rPr>
  </w:style>
  <w:style w:type="paragraph" w:styleId="Ttulo2">
    <w:name w:val="heading 2"/>
    <w:basedOn w:val="Normal"/>
    <w:next w:val="Normal"/>
    <w:uiPriority w:val="9"/>
    <w:unhideWhenUsed/>
    <w:qFormat/>
    <w:pPr>
      <w:keepNext/>
      <w:keepLines/>
      <w:spacing w:before="200"/>
      <w:ind w:firstLine="709"/>
      <w:outlineLvl w:val="1"/>
    </w:pPr>
    <w:rPr>
      <w:rFonts w:eastAsiaTheme="majorEastAsia" w:cstheme="majorBidi"/>
      <w:b/>
      <w:szCs w:val="26"/>
    </w:rPr>
  </w:style>
  <w:style w:type="paragraph" w:styleId="Ttulo3">
    <w:name w:val="heading 3"/>
    <w:basedOn w:val="Normal"/>
    <w:next w:val="Normal"/>
    <w:uiPriority w:val="9"/>
    <w:unhideWhenUsed/>
    <w:qFormat/>
    <w:pPr>
      <w:keepNext/>
      <w:keepLines/>
      <w:ind w:firstLine="709"/>
      <w:outlineLvl w:val="2"/>
    </w:pPr>
    <w:rPr>
      <w:rFonts w:eastAsiaTheme="majorEastAsia" w:cstheme="majorBidi"/>
      <w:b/>
      <w: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unhideWhenUsed/>
    <w:qFormat/>
    <w:rPr>
      <w:vertAlign w:val="superscript"/>
    </w:rPr>
  </w:style>
  <w:style w:type="character" w:styleId="Hipervnculo">
    <w:name w:val="Hyperlink"/>
    <w:basedOn w:val="Fuentedeprrafopredeter"/>
    <w:uiPriority w:val="99"/>
    <w:unhideWhenUsed/>
    <w:qFormat/>
    <w:rPr>
      <w:color w:val="0563C1" w:themeColor="hyperlink"/>
      <w:u w:val="single"/>
    </w:rPr>
  </w:style>
  <w:style w:type="paragraph" w:styleId="Textonotapie">
    <w:name w:val="footnote text"/>
    <w:basedOn w:val="Normal"/>
    <w:link w:val="TextonotapieCar"/>
    <w:uiPriority w:val="99"/>
    <w:semiHidden/>
    <w:unhideWhenUsed/>
    <w:qFormat/>
    <w:pPr>
      <w:spacing w:after="0" w:line="240" w:lineRule="auto"/>
    </w:pPr>
    <w:rPr>
      <w:sz w:val="20"/>
      <w:szCs w:val="20"/>
      <w:lang w:val="es-ES"/>
    </w:rPr>
  </w:style>
  <w:style w:type="paragraph" w:styleId="Encabezado">
    <w:name w:val="header"/>
    <w:basedOn w:val="Normal"/>
    <w:link w:val="EncabezadoCar"/>
    <w:uiPriority w:val="99"/>
    <w:unhideWhenUsed/>
    <w:qFormat/>
    <w:pPr>
      <w:tabs>
        <w:tab w:val="center" w:pos="4252"/>
        <w:tab w:val="right" w:pos="8504"/>
      </w:tabs>
      <w:spacing w:after="0" w:line="240" w:lineRule="auto"/>
    </w:pPr>
    <w:rPr>
      <w:lang w:val="es-ES"/>
    </w:rPr>
  </w:style>
  <w:style w:type="paragraph" w:styleId="Piedepgina">
    <w:name w:val="footer"/>
    <w:basedOn w:val="Normal"/>
    <w:link w:val="PiedepginaCar"/>
    <w:uiPriority w:val="99"/>
    <w:unhideWhenUsed/>
    <w:qFormat/>
    <w:pPr>
      <w:tabs>
        <w:tab w:val="center" w:pos="4252"/>
        <w:tab w:val="right" w:pos="8504"/>
      </w:tabs>
      <w:spacing w:after="0" w:line="240" w:lineRule="auto"/>
    </w:pPr>
    <w:rPr>
      <w:lang w:val="es-ES"/>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qFormat/>
  </w:style>
  <w:style w:type="paragraph" w:styleId="Prrafodelista">
    <w:name w:val="List Paragraph"/>
    <w:basedOn w:val="Normal"/>
    <w:uiPriority w:val="34"/>
    <w:qFormat/>
    <w:pPr>
      <w:ind w:left="720"/>
      <w:contextualSpacing/>
    </w:pPr>
  </w:style>
  <w:style w:type="paragraph" w:customStyle="1" w:styleId="Revisin1">
    <w:name w:val="Revisión1"/>
    <w:hidden/>
    <w:uiPriority w:val="99"/>
    <w:semiHidden/>
    <w:qFormat/>
    <w:rPr>
      <w:kern w:val="2"/>
      <w:sz w:val="22"/>
      <w:szCs w:val="22"/>
      <w:lang w:eastAsia="en-US"/>
      <w14:ligatures w14:val="standardContextual"/>
    </w:rPr>
  </w:style>
  <w:style w:type="table" w:customStyle="1" w:styleId="Tablaconcuadrcula1">
    <w:name w:val="Tabla con cuadrícula1"/>
    <w:basedOn w:val="Tablanormal"/>
    <w:uiPriority w:val="39"/>
    <w:qFormat/>
    <w:rPr>
      <w:rFonts w:ascii="Times New Roman" w:eastAsia="Arial Unicode MS"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sz w:val="32"/>
      <w:szCs w:val="32"/>
      <w:lang w:val="es-ES"/>
    </w:rPr>
  </w:style>
  <w:style w:type="character" w:customStyle="1" w:styleId="EncabezadoCar">
    <w:name w:val="Encabezado Car"/>
    <w:basedOn w:val="Fuentedeprrafopredeter"/>
    <w:link w:val="Encabezado"/>
    <w:uiPriority w:val="99"/>
    <w:qFormat/>
    <w:rPr>
      <w:lang w:val="es-ES"/>
    </w:rPr>
  </w:style>
  <w:style w:type="character" w:customStyle="1" w:styleId="PiedepginaCar">
    <w:name w:val="Pie de página Car"/>
    <w:basedOn w:val="Fuentedeprrafopredeter"/>
    <w:link w:val="Piedepgina"/>
    <w:uiPriority w:val="99"/>
    <w:qFormat/>
    <w:rPr>
      <w:lang w:val="es-ES"/>
    </w:rPr>
  </w:style>
  <w:style w:type="character" w:customStyle="1" w:styleId="TextonotapieCar">
    <w:name w:val="Texto nota pie Car"/>
    <w:basedOn w:val="Fuentedeprrafopredeter"/>
    <w:link w:val="Textonotapie"/>
    <w:uiPriority w:val="99"/>
    <w:semiHidden/>
    <w:qFormat/>
    <w:rPr>
      <w:sz w:val="20"/>
      <w:szCs w:val="20"/>
      <w:lang w:val="es-ES"/>
    </w:rPr>
  </w:style>
  <w:style w:type="paragraph" w:customStyle="1" w:styleId="Bibliografa1">
    <w:name w:val="Bibliografía1"/>
    <w:basedOn w:val="Normal"/>
    <w:next w:val="Normal"/>
    <w:uiPriority w:val="37"/>
    <w:unhideWhenUsed/>
    <w:qFormat/>
    <w:pPr>
      <w:spacing w:after="0" w:line="480" w:lineRule="auto"/>
      <w:ind w:left="720" w:hanging="720"/>
    </w:pPr>
    <w:rPr>
      <w:lang w:val="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customStyle="1" w:styleId="NotaTablaofigura">
    <w:name w:val="Nota Tabla o figura"/>
    <w:basedOn w:val="Normal"/>
    <w:next w:val="Prrafo"/>
    <w:qFormat/>
    <w:pPr>
      <w:spacing w:before="60" w:after="120" w:line="240" w:lineRule="auto"/>
      <w:contextualSpacing/>
    </w:pPr>
    <w:rPr>
      <w:rFonts w:cs="Arial"/>
      <w:sz w:val="20"/>
      <w:szCs w:val="20"/>
    </w:rPr>
  </w:style>
  <w:style w:type="paragraph" w:customStyle="1" w:styleId="Prrafo">
    <w:name w:val="Párrafo"/>
    <w:basedOn w:val="Normal"/>
    <w:qFormat/>
    <w:pPr>
      <w:ind w:firstLine="510"/>
      <w:contextualSpacing/>
    </w:pPr>
  </w:style>
  <w:style w:type="paragraph" w:customStyle="1" w:styleId="APA6a-Nor">
    <w:name w:val="APA6a-Nor"/>
    <w:basedOn w:val="Normal"/>
    <w:qFormat/>
    <w:pPr>
      <w:spacing w:before="240"/>
    </w:pPr>
  </w:style>
  <w:style w:type="paragraph" w:customStyle="1" w:styleId="APA7a">
    <w:name w:val="APA 7a"/>
    <w:basedOn w:val="Normal"/>
    <w:qFormat/>
    <w:pPr>
      <w:spacing w:line="480" w:lineRule="auto"/>
      <w:ind w:firstLine="709"/>
    </w:pPr>
    <w:rPr>
      <w:rFonts w:ascii="Arial" w:hAnsi="Arial" w:cstheme="minorHAnsi"/>
    </w:rPr>
  </w:style>
  <w:style w:type="paragraph" w:customStyle="1" w:styleId="RefAPA7">
    <w:name w:val="Ref APA7"/>
    <w:basedOn w:val="Normal"/>
    <w:qFormat/>
    <w:pPr>
      <w:spacing w:line="240" w:lineRule="auto"/>
      <w:ind w:left="720" w:hanging="720"/>
    </w:pPr>
    <w:rPr>
      <w:rFonts w:cstheme="minorHAnsi"/>
    </w:rPr>
  </w:style>
  <w:style w:type="paragraph" w:styleId="Revisin">
    <w:name w:val="Revision"/>
    <w:hidden/>
    <w:uiPriority w:val="99"/>
    <w:unhideWhenUsed/>
    <w:rsid w:val="00E124A8"/>
    <w:rPr>
      <w:kern w:val="2"/>
      <w:sz w:val="22"/>
      <w:szCs w:val="22"/>
      <w:lang w:eastAsia="en-US"/>
      <w14:ligatures w14:val="standardContextual"/>
    </w:rPr>
  </w:style>
  <w:style w:type="paragraph" w:styleId="NormalWeb">
    <w:name w:val="Normal (Web)"/>
    <w:basedOn w:val="Normal"/>
    <w:uiPriority w:val="99"/>
    <w:semiHidden/>
    <w:unhideWhenUsed/>
    <w:rsid w:val="00F82AA9"/>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2124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2463/25909215.2834" TargetMode="External"/><Relationship Id="rId18" Type="http://schemas.openxmlformats.org/officeDocument/2006/relationships/hyperlink" Target="https://www.auip.org/es/becasauip" TargetMode="External"/><Relationship Id="rId26" Type="http://schemas.openxmlformats.org/officeDocument/2006/relationships/hyperlink" Target="http://dx.doi.org/10.2139/ssrn.1673786" TargetMode="External"/><Relationship Id="rId39" Type="http://schemas.microsoft.com/office/2007/relationships/diagramDrawing" Target="diagrams/drawing1.xml"/><Relationship Id="rId21" Type="http://schemas.openxmlformats.org/officeDocument/2006/relationships/hyperlink" Target="https://www.uag.mx/es/especiales/convenios/m" TargetMode="External"/><Relationship Id="rId34" Type="http://schemas.openxmlformats.org/officeDocument/2006/relationships/image" Target="media/image8.png"/><Relationship Id="rId42" Type="http://schemas.openxmlformats.org/officeDocument/2006/relationships/diagramLayout" Target="diagrams/layout2.xml"/><Relationship Id="rId47" Type="http://schemas.openxmlformats.org/officeDocument/2006/relationships/image" Target="media/image11.png"/><Relationship Id="rId50" Type="http://schemas.openxmlformats.org/officeDocument/2006/relationships/hyperlink" Target="https://doi.org/10.21865/RIDEP62.1.01" TargetMode="External"/><Relationship Id="rId55"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 TargetMode="External"/><Relationship Id="rId29" Type="http://schemas.openxmlformats.org/officeDocument/2006/relationships/hyperlink" Target="https://hdl.handle.net/11162/229745" TargetMode="External"/><Relationship Id="rId11" Type="http://schemas.openxmlformats.org/officeDocument/2006/relationships/image" Target="media/image3.png"/><Relationship Id="rId24" Type="http://schemas.openxmlformats.org/officeDocument/2006/relationships/hyperlink" Target="https://repository.ucc.edu.co/server/api/core/bitstreams/964e57ae-da2f-487a-81d0-b12395ae29ad/content" TargetMode="External"/><Relationship Id="rId32" Type="http://schemas.openxmlformats.org/officeDocument/2006/relationships/image" Target="media/image6.png"/><Relationship Id="rId37" Type="http://schemas.openxmlformats.org/officeDocument/2006/relationships/diagramQuickStyle" Target="diagrams/quickStyle1.xml"/><Relationship Id="rId40" Type="http://schemas.openxmlformats.org/officeDocument/2006/relationships/image" Target="media/image9.png"/><Relationship Id="rId45" Type="http://schemas.microsoft.com/office/2007/relationships/diagramDrawing" Target="diagrams/drawing2.xml"/><Relationship Id="rId53" Type="http://schemas.openxmlformats.org/officeDocument/2006/relationships/hyperlink" Target="https://doi.org/10.18800/psico.201801.008" TargetMode="External"/><Relationship Id="rId5" Type="http://schemas.openxmlformats.org/officeDocument/2006/relationships/settings" Target="settings.xml"/><Relationship Id="rId19" Type="http://schemas.openxmlformats.org/officeDocument/2006/relationships/hyperlink" Target="https://doi.org/10.1590/S0101-73302009000300002"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i.org/10.20511/pyr2013.v1n2.48" TargetMode="External"/><Relationship Id="rId22" Type="http://schemas.openxmlformats.org/officeDocument/2006/relationships/hyperlink" Target="https://urn.kb.se/resolve?urn=urn:nbn:se:mau:diva-33830" TargetMode="External"/><Relationship Id="rId27" Type="http://schemas.openxmlformats.org/officeDocument/2006/relationships/hyperlink" Target="https://doi.org/10.1017/s0018268000025681" TargetMode="External"/><Relationship Id="rId30" Type="http://schemas.openxmlformats.org/officeDocument/2006/relationships/hyperlink" Target="https://doi.org/10.22206/cys.2017.v42i1.pp9-23" TargetMode="External"/><Relationship Id="rId35" Type="http://schemas.openxmlformats.org/officeDocument/2006/relationships/diagramData" Target="diagrams/data1.xml"/><Relationship Id="rId43" Type="http://schemas.openxmlformats.org/officeDocument/2006/relationships/diagramQuickStyle" Target="diagrams/quickStyle2.xml"/><Relationship Id="rId48" Type="http://schemas.openxmlformats.org/officeDocument/2006/relationships/hyperlink" Target="https://doi.org/10.21500/16578031.4772" TargetMode="External"/><Relationship Id="rId56" Type="http://schemas.microsoft.com/office/2011/relationships/people" Target="people.xml"/><Relationship Id="rId8" Type="http://schemas.openxmlformats.org/officeDocument/2006/relationships/endnotes" Target="endnotes.xml"/><Relationship Id="rId51" Type="http://schemas.openxmlformats.org/officeDocument/2006/relationships/hyperlink" Target="https://doi.org/10.33996/propuestas.v3i5.249" TargetMode="Externa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hyperlink" Target="https://uis.unesco.org/en/uis-student-flow" TargetMode="External"/><Relationship Id="rId25" Type="http://schemas.openxmlformats.org/officeDocument/2006/relationships/hyperlink" Target="https://ssrn.com/abstract=1673786" TargetMode="External"/><Relationship Id="rId33" Type="http://schemas.openxmlformats.org/officeDocument/2006/relationships/image" Target="media/image7.emf"/><Relationship Id="rId38" Type="http://schemas.openxmlformats.org/officeDocument/2006/relationships/diagramColors" Target="diagrams/colors1.xml"/><Relationship Id="rId46" Type="http://schemas.openxmlformats.org/officeDocument/2006/relationships/image" Target="media/image10.png"/><Relationship Id="rId20" Type="http://schemas.openxmlformats.org/officeDocument/2006/relationships/hyperlink" Target="https://dialnet.unirioja.es/servlet/articulo?codigo=6228341" TargetMode="External"/><Relationship Id="rId41" Type="http://schemas.openxmlformats.org/officeDocument/2006/relationships/diagramData" Target="diagrams/data2.xml"/><Relationship Id="rId54" Type="http://schemas.openxmlformats.org/officeDocument/2006/relationships/hyperlink" Target="https://doi.org/10.17163/ret.n24.2022.06"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 TargetMode="External"/><Relationship Id="rId23" Type="http://schemas.openxmlformats.org/officeDocument/2006/relationships/hyperlink" Target="https://doi.org/10.46443/catyp.v18i2.311" TargetMode="External"/><Relationship Id="rId28" Type="http://schemas.openxmlformats.org/officeDocument/2006/relationships/hyperlink" Target="https://doi.org/10.1177/1475240920915013" TargetMode="External"/><Relationship Id="rId36" Type="http://schemas.openxmlformats.org/officeDocument/2006/relationships/diagramLayout" Target="diagrams/layout1.xml"/><Relationship Id="rId49" Type="http://schemas.openxmlformats.org/officeDocument/2006/relationships/hyperlink" Target="https://doi.org/10.1016/j.techfore.2021.121092" TargetMode="External"/><Relationship Id="rId57" Type="http://schemas.openxmlformats.org/officeDocument/2006/relationships/theme" Target="theme/theme1.xml"/><Relationship Id="rId10" Type="http://schemas.openxmlformats.org/officeDocument/2006/relationships/image" Target="media/image2.emf"/><Relationship Id="rId31" Type="http://schemas.openxmlformats.org/officeDocument/2006/relationships/image" Target="media/image5.png"/><Relationship Id="rId44" Type="http://schemas.openxmlformats.org/officeDocument/2006/relationships/diagramColors" Target="diagrams/colors2.xml"/><Relationship Id="rId52" Type="http://schemas.openxmlformats.org/officeDocument/2006/relationships/hyperlink" Target="http://dx.doi.org/10.17843/rpmesp.2019.362.4621" TargetMode="External"/></Relationships>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2">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58077101-6F8D-46ED-AB2C-36AF4C277C67}" type="doc">
      <dgm:prSet loTypeId="urn:microsoft.com/office/officeart/2005/8/layout/vList5" loCatId="list" qsTypeId="urn:microsoft.com/office/officeart/2005/8/quickstyle/simple1#1" qsCatId="simple" csTypeId="urn:microsoft.com/office/officeart/2005/8/colors/accent0_1#1" csCatId="mainScheme" phldr="1"/>
      <dgm:spPr/>
      <dgm:t>
        <a:bodyPr/>
        <a:lstStyle/>
        <a:p>
          <a:endParaRPr lang="es-MX"/>
        </a:p>
      </dgm:t>
    </dgm:pt>
    <dgm:pt modelId="{EC32FD77-557F-4C8F-940E-0C46A7D3D8FC}">
      <dgm:prSet phldrT="[Texto]" custT="1"/>
      <dgm:spPr/>
      <dgm:t>
        <a:bodyPr/>
        <a:lstStyle/>
        <a:p>
          <a:r>
            <a:rPr lang="es-MX" sz="1200">
              <a:latin typeface="Arial" panose="020B0604020202020204" pitchFamily="2" charset="0"/>
              <a:cs typeface="Arial" panose="020B0604020202020204" pitchFamily="2" charset="0"/>
            </a:rPr>
            <a:t>Actitud</a:t>
          </a:r>
        </a:p>
      </dgm:t>
    </dgm:pt>
    <dgm:pt modelId="{B029C8D4-57EA-4DE0-B0E2-F35F1F69D638}" type="parTrans" cxnId="{4B3E1F36-00D5-4FD0-9ABB-10B334CF932A}">
      <dgm:prSet/>
      <dgm:spPr/>
      <dgm:t>
        <a:bodyPr/>
        <a:lstStyle/>
        <a:p>
          <a:endParaRPr lang="es-MX" sz="1200">
            <a:latin typeface="Arial" panose="020B0604020202020204" pitchFamily="2" charset="0"/>
            <a:cs typeface="Arial" panose="020B0604020202020204" pitchFamily="2" charset="0"/>
          </a:endParaRPr>
        </a:p>
      </dgm:t>
    </dgm:pt>
    <dgm:pt modelId="{FCB612A4-2BD7-4501-9526-425D83AF2F70}" type="sibTrans" cxnId="{4B3E1F36-00D5-4FD0-9ABB-10B334CF932A}">
      <dgm:prSet/>
      <dgm:spPr/>
      <dgm:t>
        <a:bodyPr/>
        <a:lstStyle/>
        <a:p>
          <a:endParaRPr lang="es-MX" sz="1200">
            <a:latin typeface="Arial" panose="020B0604020202020204" pitchFamily="2" charset="0"/>
            <a:cs typeface="Arial" panose="020B0604020202020204" pitchFamily="2" charset="0"/>
          </a:endParaRPr>
        </a:p>
      </dgm:t>
    </dgm:pt>
    <dgm:pt modelId="{425BF68D-7BEE-4B1B-BCAC-DEE265ACF375}">
      <dgm:prSet phldrT="[Texto]" custT="1"/>
      <dgm:spPr/>
      <dgm:t>
        <a:bodyPr/>
        <a:lstStyle/>
        <a:p>
          <a:pPr algn="ctr">
            <a:lnSpc>
              <a:spcPct val="150000"/>
            </a:lnSpc>
            <a:spcAft>
              <a:spcPts val="0"/>
            </a:spcAft>
          </a:pPr>
          <a:r>
            <a:rPr lang="es-MX" sz="1200">
              <a:latin typeface="Arial" panose="020B0604020202020204" pitchFamily="2" charset="0"/>
              <a:cs typeface="Arial" panose="020B0604020202020204" pitchFamily="2" charset="0"/>
            </a:rPr>
            <a:t>El punto de vista, derivado de la experiencia, que los sujetos tienen respecto a “algo”. Se considera la influencia de su grupo primario: la familia</a:t>
          </a:r>
        </a:p>
      </dgm:t>
    </dgm:pt>
    <dgm:pt modelId="{1D192BE1-5634-4B88-A7F6-9BEB670DEB64}" type="parTrans" cxnId="{0F4BAC7C-7EBC-486E-B1F4-06000A35E2D8}">
      <dgm:prSet/>
      <dgm:spPr/>
      <dgm:t>
        <a:bodyPr/>
        <a:lstStyle/>
        <a:p>
          <a:endParaRPr lang="es-MX" sz="1200">
            <a:latin typeface="Arial" panose="020B0604020202020204" pitchFamily="2" charset="0"/>
            <a:cs typeface="Arial" panose="020B0604020202020204" pitchFamily="2" charset="0"/>
          </a:endParaRPr>
        </a:p>
      </dgm:t>
    </dgm:pt>
    <dgm:pt modelId="{3D9FC2FC-425D-4A78-B994-18C6C79C3ED2}" type="sibTrans" cxnId="{0F4BAC7C-7EBC-486E-B1F4-06000A35E2D8}">
      <dgm:prSet/>
      <dgm:spPr/>
      <dgm:t>
        <a:bodyPr/>
        <a:lstStyle/>
        <a:p>
          <a:endParaRPr lang="es-MX" sz="1200">
            <a:latin typeface="Arial" panose="020B0604020202020204" pitchFamily="2" charset="0"/>
            <a:cs typeface="Arial" panose="020B0604020202020204" pitchFamily="2" charset="0"/>
          </a:endParaRPr>
        </a:p>
      </dgm:t>
    </dgm:pt>
    <dgm:pt modelId="{C573FE9D-0600-49CF-A190-7E9409CA7C2E}">
      <dgm:prSet phldrT="[Texto]" custT="1"/>
      <dgm:spPr/>
      <dgm:t>
        <a:bodyPr/>
        <a:lstStyle/>
        <a:p>
          <a:pPr algn="ctr">
            <a:lnSpc>
              <a:spcPct val="150000"/>
            </a:lnSpc>
            <a:spcAft>
              <a:spcPts val="0"/>
            </a:spcAft>
          </a:pPr>
          <a:r>
            <a:rPr lang="es-MX" sz="1200">
              <a:latin typeface="Arial" panose="020B0604020202020204" pitchFamily="2" charset="0"/>
              <a:cs typeface="Arial" panose="020B0604020202020204" pitchFamily="2" charset="0"/>
            </a:rPr>
            <a:t>Comportamiento frente a una determinada acción</a:t>
          </a:r>
        </a:p>
      </dgm:t>
    </dgm:pt>
    <dgm:pt modelId="{800F83DA-2346-473B-9673-4DC53E77B260}" type="parTrans" cxnId="{FFDA9569-B798-4353-A722-145725C52E28}">
      <dgm:prSet/>
      <dgm:spPr/>
      <dgm:t>
        <a:bodyPr/>
        <a:lstStyle/>
        <a:p>
          <a:endParaRPr lang="es-MX" sz="1200">
            <a:latin typeface="Arial" panose="020B0604020202020204" pitchFamily="2" charset="0"/>
            <a:cs typeface="Arial" panose="020B0604020202020204" pitchFamily="2" charset="0"/>
          </a:endParaRPr>
        </a:p>
      </dgm:t>
    </dgm:pt>
    <dgm:pt modelId="{1792161C-28BC-4ACE-83C8-4FF969CB5CEF}" type="sibTrans" cxnId="{FFDA9569-B798-4353-A722-145725C52E28}">
      <dgm:prSet/>
      <dgm:spPr/>
      <dgm:t>
        <a:bodyPr/>
        <a:lstStyle/>
        <a:p>
          <a:endParaRPr lang="es-MX" sz="1200">
            <a:latin typeface="Arial" panose="020B0604020202020204" pitchFamily="2" charset="0"/>
            <a:cs typeface="Arial" panose="020B0604020202020204" pitchFamily="2" charset="0"/>
          </a:endParaRPr>
        </a:p>
      </dgm:t>
    </dgm:pt>
    <dgm:pt modelId="{5B9E9E03-FE90-43E7-B5C0-EE1CA23D1C9C}">
      <dgm:prSet phldrT="[Texto]" custT="1"/>
      <dgm:spPr/>
      <dgm:t>
        <a:bodyPr/>
        <a:lstStyle/>
        <a:p>
          <a:r>
            <a:rPr lang="es-MX" sz="1200">
              <a:latin typeface="Arial" panose="020B0604020202020204" pitchFamily="2" charset="0"/>
              <a:cs typeface="Arial" panose="020B0604020202020204" pitchFamily="2" charset="0"/>
            </a:rPr>
            <a:t>Norma subjetiva</a:t>
          </a:r>
        </a:p>
      </dgm:t>
    </dgm:pt>
    <dgm:pt modelId="{5A4AB983-05E7-46B0-8CAC-B7CA7534A46E}" type="parTrans" cxnId="{C209BBF2-9148-4509-B6FD-A70706EB802B}">
      <dgm:prSet/>
      <dgm:spPr/>
      <dgm:t>
        <a:bodyPr/>
        <a:lstStyle/>
        <a:p>
          <a:endParaRPr lang="es-MX" sz="1200">
            <a:latin typeface="Arial" panose="020B0604020202020204" pitchFamily="2" charset="0"/>
            <a:cs typeface="Arial" panose="020B0604020202020204" pitchFamily="2" charset="0"/>
          </a:endParaRPr>
        </a:p>
      </dgm:t>
    </dgm:pt>
    <dgm:pt modelId="{6C7D0D4A-28DC-43FC-947D-0F9325AF4A02}" type="sibTrans" cxnId="{C209BBF2-9148-4509-B6FD-A70706EB802B}">
      <dgm:prSet/>
      <dgm:spPr/>
      <dgm:t>
        <a:bodyPr/>
        <a:lstStyle/>
        <a:p>
          <a:endParaRPr lang="es-MX" sz="1200">
            <a:latin typeface="Arial" panose="020B0604020202020204" pitchFamily="2" charset="0"/>
            <a:cs typeface="Arial" panose="020B0604020202020204" pitchFamily="2" charset="0"/>
          </a:endParaRPr>
        </a:p>
      </dgm:t>
    </dgm:pt>
    <dgm:pt modelId="{B404611C-B8E6-4713-B705-FCA668314ADF}">
      <dgm:prSet phldrT="[Texto]" custT="1"/>
      <dgm:spPr/>
      <dgm:t>
        <a:bodyPr/>
        <a:lstStyle/>
        <a:p>
          <a:pPr>
            <a:lnSpc>
              <a:spcPct val="150000"/>
            </a:lnSpc>
            <a:spcAft>
              <a:spcPts val="0"/>
            </a:spcAft>
          </a:pPr>
          <a:r>
            <a:rPr lang="es-MX" sz="1200">
              <a:latin typeface="Arial" panose="020B0604020202020204" pitchFamily="2" charset="0"/>
              <a:cs typeface="Arial" panose="020B0604020202020204" pitchFamily="2" charset="0"/>
            </a:rPr>
            <a:t>Implica la percepción de los individuos sobre la relación entre la opinión de la sociedad y de llevar a cabo las acciones</a:t>
          </a:r>
        </a:p>
      </dgm:t>
    </dgm:pt>
    <dgm:pt modelId="{15605D98-1837-43C8-BB90-F56146BE2624}" type="parTrans" cxnId="{FEE4A165-65CD-4748-BE1C-06C99165CB93}">
      <dgm:prSet/>
      <dgm:spPr/>
      <dgm:t>
        <a:bodyPr/>
        <a:lstStyle/>
        <a:p>
          <a:endParaRPr lang="es-MX" sz="1200">
            <a:latin typeface="Arial" panose="020B0604020202020204" pitchFamily="2" charset="0"/>
            <a:cs typeface="Arial" panose="020B0604020202020204" pitchFamily="2" charset="0"/>
          </a:endParaRPr>
        </a:p>
      </dgm:t>
    </dgm:pt>
    <dgm:pt modelId="{4558ABA4-DFCB-4AF3-8CEE-937EA78D9B3B}" type="sibTrans" cxnId="{FEE4A165-65CD-4748-BE1C-06C99165CB93}">
      <dgm:prSet/>
      <dgm:spPr/>
      <dgm:t>
        <a:bodyPr/>
        <a:lstStyle/>
        <a:p>
          <a:endParaRPr lang="es-MX" sz="1200">
            <a:latin typeface="Arial" panose="020B0604020202020204" pitchFamily="2" charset="0"/>
            <a:cs typeface="Arial" panose="020B0604020202020204" pitchFamily="2" charset="0"/>
          </a:endParaRPr>
        </a:p>
      </dgm:t>
    </dgm:pt>
    <dgm:pt modelId="{7D4E47F3-7F74-4A62-A7A3-C495B6C5C9E5}">
      <dgm:prSet custT="1"/>
      <dgm:spPr/>
      <dgm:t>
        <a:bodyPr/>
        <a:lstStyle/>
        <a:p>
          <a:r>
            <a:rPr lang="es-MX" sz="1200">
              <a:latin typeface="Arial" panose="020B0604020202020204" pitchFamily="2" charset="0"/>
              <a:cs typeface="Arial" panose="020B0604020202020204" pitchFamily="2" charset="0"/>
            </a:rPr>
            <a:t>Comportamiento percibido de control</a:t>
          </a:r>
        </a:p>
      </dgm:t>
    </dgm:pt>
    <dgm:pt modelId="{F6BE50A9-0414-414B-A36B-96CB2F285594}" type="parTrans" cxnId="{B782B650-85F3-4338-86E1-7490320461A0}">
      <dgm:prSet/>
      <dgm:spPr/>
      <dgm:t>
        <a:bodyPr/>
        <a:lstStyle/>
        <a:p>
          <a:endParaRPr lang="es-MX"/>
        </a:p>
      </dgm:t>
    </dgm:pt>
    <dgm:pt modelId="{D5FAEFB0-67FB-40C6-B3B4-ED5CCA6FA227}" type="sibTrans" cxnId="{B782B650-85F3-4338-86E1-7490320461A0}">
      <dgm:prSet/>
      <dgm:spPr/>
      <dgm:t>
        <a:bodyPr/>
        <a:lstStyle/>
        <a:p>
          <a:endParaRPr lang="es-MX"/>
        </a:p>
      </dgm:t>
    </dgm:pt>
    <dgm:pt modelId="{D016EAB4-0251-45D5-B3E5-B8C7E7849209}">
      <dgm:prSet custT="1"/>
      <dgm:spPr/>
      <dgm:t>
        <a:bodyPr/>
        <a:lstStyle/>
        <a:p>
          <a:pPr>
            <a:lnSpc>
              <a:spcPct val="150000"/>
            </a:lnSpc>
            <a:spcAft>
              <a:spcPts val="0"/>
            </a:spcAft>
          </a:pPr>
          <a:r>
            <a:rPr lang="es-MX" sz="1200">
              <a:latin typeface="Arial" panose="020B0604020202020204" pitchFamily="2" charset="0"/>
              <a:cs typeface="Arial" panose="020B0604020202020204" pitchFamily="2" charset="0"/>
            </a:rPr>
            <a:t>Este aspecto define si los sujetos son capaces de adoptar prácticas para ejercer la acción</a:t>
          </a:r>
        </a:p>
      </dgm:t>
    </dgm:pt>
    <dgm:pt modelId="{D93F1AC8-1F0A-4BB2-8BF8-2E29F7B1C280}" type="parTrans" cxnId="{0F9A2064-7CE0-43DF-B73B-FFFD8B16270F}">
      <dgm:prSet/>
      <dgm:spPr/>
      <dgm:t>
        <a:bodyPr/>
        <a:lstStyle/>
        <a:p>
          <a:endParaRPr lang="es-MX"/>
        </a:p>
      </dgm:t>
    </dgm:pt>
    <dgm:pt modelId="{A92B879F-6DDA-4B8D-9657-7A699216FD53}" type="sibTrans" cxnId="{0F9A2064-7CE0-43DF-B73B-FFFD8B16270F}">
      <dgm:prSet/>
      <dgm:spPr/>
      <dgm:t>
        <a:bodyPr/>
        <a:lstStyle/>
        <a:p>
          <a:endParaRPr lang="es-MX"/>
        </a:p>
      </dgm:t>
    </dgm:pt>
    <dgm:pt modelId="{D7371E69-78FF-4452-ADB5-B5217953A0D3}">
      <dgm:prSet phldrT="[Texto]" custT="1"/>
      <dgm:spPr/>
      <dgm:t>
        <a:bodyPr/>
        <a:lstStyle/>
        <a:p>
          <a:pPr>
            <a:lnSpc>
              <a:spcPct val="150000"/>
            </a:lnSpc>
            <a:spcAft>
              <a:spcPts val="0"/>
            </a:spcAft>
          </a:pPr>
          <a:r>
            <a:rPr lang="es-MX" sz="1200">
              <a:latin typeface="Arial" panose="020B0604020202020204" pitchFamily="2" charset="0"/>
              <a:cs typeface="Arial" panose="020B0604020202020204" pitchFamily="2" charset="0"/>
            </a:rPr>
            <a:t>Aprobación o desaprobación del comportamiento por las personas que forman el entorno del sujeto</a:t>
          </a:r>
        </a:p>
      </dgm:t>
    </dgm:pt>
    <dgm:pt modelId="{78817E27-2796-4973-942D-A04D5459A030}" type="parTrans" cxnId="{404078A8-09DD-4342-8865-188DB9931E12}">
      <dgm:prSet/>
      <dgm:spPr/>
      <dgm:t>
        <a:bodyPr/>
        <a:lstStyle/>
        <a:p>
          <a:endParaRPr lang="es-MX"/>
        </a:p>
      </dgm:t>
    </dgm:pt>
    <dgm:pt modelId="{8D9E621D-5C5C-40FD-B58F-DB10E1C73699}" type="sibTrans" cxnId="{404078A8-09DD-4342-8865-188DB9931E12}">
      <dgm:prSet/>
      <dgm:spPr/>
      <dgm:t>
        <a:bodyPr/>
        <a:lstStyle/>
        <a:p>
          <a:endParaRPr lang="es-MX"/>
        </a:p>
      </dgm:t>
    </dgm:pt>
    <dgm:pt modelId="{388B1D47-8E88-401A-B82A-CF14C78B61AC}">
      <dgm:prSet custT="1"/>
      <dgm:spPr/>
      <dgm:t>
        <a:bodyPr/>
        <a:lstStyle/>
        <a:p>
          <a:pPr>
            <a:lnSpc>
              <a:spcPct val="150000"/>
            </a:lnSpc>
            <a:spcAft>
              <a:spcPts val="0"/>
            </a:spcAft>
          </a:pPr>
          <a:r>
            <a:rPr lang="es-MX" sz="1200">
              <a:latin typeface="Arial" panose="020B0604020202020204" pitchFamily="2" charset="0"/>
              <a:cs typeface="Arial" panose="020B0604020202020204" pitchFamily="2" charset="0"/>
            </a:rPr>
            <a:t>Intención</a:t>
          </a:r>
        </a:p>
      </dgm:t>
    </dgm:pt>
    <dgm:pt modelId="{DBAD71AD-0FD6-4BAE-A213-1C04655D5485}" type="parTrans" cxnId="{B660198D-631D-4060-98B2-E007C3FFF6AB}">
      <dgm:prSet/>
      <dgm:spPr/>
      <dgm:t>
        <a:bodyPr/>
        <a:lstStyle/>
        <a:p>
          <a:endParaRPr lang="es-MX"/>
        </a:p>
      </dgm:t>
    </dgm:pt>
    <dgm:pt modelId="{C2E57286-AE0D-4A3E-B4C1-A705F5D00B38}" type="sibTrans" cxnId="{B660198D-631D-4060-98B2-E007C3FFF6AB}">
      <dgm:prSet/>
      <dgm:spPr/>
      <dgm:t>
        <a:bodyPr/>
        <a:lstStyle/>
        <a:p>
          <a:endParaRPr lang="es-MX"/>
        </a:p>
      </dgm:t>
    </dgm:pt>
    <dgm:pt modelId="{E1B05190-487A-4961-AE05-951F4A0D921F}">
      <dgm:prSet custT="1"/>
      <dgm:spPr/>
      <dgm:t>
        <a:bodyPr/>
        <a:lstStyle/>
        <a:p>
          <a:pPr>
            <a:lnSpc>
              <a:spcPct val="150000"/>
            </a:lnSpc>
            <a:spcAft>
              <a:spcPts val="0"/>
            </a:spcAft>
          </a:pPr>
          <a:r>
            <a:rPr lang="es-MX" sz="1200">
              <a:latin typeface="Arial" panose="020B0604020202020204" pitchFamily="2" charset="0"/>
              <a:cs typeface="Arial" panose="020B0604020202020204" pitchFamily="2" charset="0"/>
            </a:rPr>
            <a:t>Indica la volutad de cada individuo para llevar a cabo cierto comportamiento </a:t>
          </a:r>
        </a:p>
      </dgm:t>
    </dgm:pt>
    <dgm:pt modelId="{5853116F-5E3C-49B3-A67C-D1B0A2D0FA31}" type="parTrans" cxnId="{41421A61-1340-4164-B2A5-03618E09F1C4}">
      <dgm:prSet/>
      <dgm:spPr/>
      <dgm:t>
        <a:bodyPr/>
        <a:lstStyle/>
        <a:p>
          <a:endParaRPr lang="es-MX"/>
        </a:p>
      </dgm:t>
    </dgm:pt>
    <dgm:pt modelId="{F98DDCEA-51B9-4811-B5D4-294A93978421}" type="sibTrans" cxnId="{41421A61-1340-4164-B2A5-03618E09F1C4}">
      <dgm:prSet/>
      <dgm:spPr/>
      <dgm:t>
        <a:bodyPr/>
        <a:lstStyle/>
        <a:p>
          <a:endParaRPr lang="es-MX"/>
        </a:p>
      </dgm:t>
    </dgm:pt>
    <dgm:pt modelId="{62A7AE1F-64E6-423B-B8E9-B4BA83AFA06F}" type="pres">
      <dgm:prSet presAssocID="{58077101-6F8D-46ED-AB2C-36AF4C277C67}" presName="Name0" presStyleCnt="0">
        <dgm:presLayoutVars>
          <dgm:dir/>
          <dgm:animLvl val="lvl"/>
          <dgm:resizeHandles val="exact"/>
        </dgm:presLayoutVars>
      </dgm:prSet>
      <dgm:spPr/>
    </dgm:pt>
    <dgm:pt modelId="{055F31BA-73AC-40EE-82F9-960AA6AE0CE0}" type="pres">
      <dgm:prSet presAssocID="{EC32FD77-557F-4C8F-940E-0C46A7D3D8FC}" presName="linNode" presStyleCnt="0"/>
      <dgm:spPr/>
    </dgm:pt>
    <dgm:pt modelId="{02647B31-FA5B-475F-85F9-4E4C4004CD42}" type="pres">
      <dgm:prSet presAssocID="{EC32FD77-557F-4C8F-940E-0C46A7D3D8FC}" presName="parentText" presStyleLbl="node1" presStyleIdx="0" presStyleCnt="4">
        <dgm:presLayoutVars>
          <dgm:chMax val="1"/>
          <dgm:bulletEnabled val="1"/>
        </dgm:presLayoutVars>
      </dgm:prSet>
      <dgm:spPr/>
    </dgm:pt>
    <dgm:pt modelId="{DF01F6C8-9035-4A0D-AD9E-88EA06E8CB27}" type="pres">
      <dgm:prSet presAssocID="{EC32FD77-557F-4C8F-940E-0C46A7D3D8FC}" presName="descendantText" presStyleLbl="alignAccFollowNode1" presStyleIdx="0" presStyleCnt="4" custScaleY="277383">
        <dgm:presLayoutVars>
          <dgm:bulletEnabled val="1"/>
        </dgm:presLayoutVars>
      </dgm:prSet>
      <dgm:spPr/>
    </dgm:pt>
    <dgm:pt modelId="{A1745553-4728-4B82-9713-16F60C446C3C}" type="pres">
      <dgm:prSet presAssocID="{FCB612A4-2BD7-4501-9526-425D83AF2F70}" presName="sp" presStyleCnt="0"/>
      <dgm:spPr/>
    </dgm:pt>
    <dgm:pt modelId="{743FA621-8BF9-42D0-8CEA-3DF9ED425617}" type="pres">
      <dgm:prSet presAssocID="{5B9E9E03-FE90-43E7-B5C0-EE1CA23D1C9C}" presName="linNode" presStyleCnt="0"/>
      <dgm:spPr/>
    </dgm:pt>
    <dgm:pt modelId="{85270EE1-A612-4611-BC28-D12331F89AB5}" type="pres">
      <dgm:prSet presAssocID="{5B9E9E03-FE90-43E7-B5C0-EE1CA23D1C9C}" presName="parentText" presStyleLbl="node1" presStyleIdx="1" presStyleCnt="4">
        <dgm:presLayoutVars>
          <dgm:chMax val="1"/>
          <dgm:bulletEnabled val="1"/>
        </dgm:presLayoutVars>
      </dgm:prSet>
      <dgm:spPr/>
    </dgm:pt>
    <dgm:pt modelId="{95F46296-435A-4743-A878-0FF122DB250F}" type="pres">
      <dgm:prSet presAssocID="{5B9E9E03-FE90-43E7-B5C0-EE1CA23D1C9C}" presName="descendantText" presStyleLbl="alignAccFollowNode1" presStyleIdx="1" presStyleCnt="4" custScaleY="404235">
        <dgm:presLayoutVars>
          <dgm:bulletEnabled val="1"/>
        </dgm:presLayoutVars>
      </dgm:prSet>
      <dgm:spPr/>
    </dgm:pt>
    <dgm:pt modelId="{453DE519-E036-4B9F-82FE-FCFAF6D3D743}" type="pres">
      <dgm:prSet presAssocID="{6C7D0D4A-28DC-43FC-947D-0F9325AF4A02}" presName="sp" presStyleCnt="0"/>
      <dgm:spPr/>
    </dgm:pt>
    <dgm:pt modelId="{6A34E52C-B038-43DB-AB16-31058DDB940E}" type="pres">
      <dgm:prSet presAssocID="{7D4E47F3-7F74-4A62-A7A3-C495B6C5C9E5}" presName="linNode" presStyleCnt="0"/>
      <dgm:spPr/>
    </dgm:pt>
    <dgm:pt modelId="{8DDA5B10-1672-479B-A72B-7FC375CC31C7}" type="pres">
      <dgm:prSet presAssocID="{7D4E47F3-7F74-4A62-A7A3-C495B6C5C9E5}" presName="parentText" presStyleLbl="node1" presStyleIdx="2" presStyleCnt="4">
        <dgm:presLayoutVars>
          <dgm:chMax val="1"/>
          <dgm:bulletEnabled val="1"/>
        </dgm:presLayoutVars>
      </dgm:prSet>
      <dgm:spPr/>
    </dgm:pt>
    <dgm:pt modelId="{A93B53CC-EA9C-4008-9304-1C4DFB359AC7}" type="pres">
      <dgm:prSet presAssocID="{7D4E47F3-7F74-4A62-A7A3-C495B6C5C9E5}" presName="descendantText" presStyleLbl="alignAccFollowNode1" presStyleIdx="2" presStyleCnt="4" custScaleY="193201">
        <dgm:presLayoutVars>
          <dgm:bulletEnabled val="1"/>
        </dgm:presLayoutVars>
      </dgm:prSet>
      <dgm:spPr/>
    </dgm:pt>
    <dgm:pt modelId="{51794EAD-40E4-4E87-9F07-15445FCB1B57}" type="pres">
      <dgm:prSet presAssocID="{D5FAEFB0-67FB-40C6-B3B4-ED5CCA6FA227}" presName="sp" presStyleCnt="0"/>
      <dgm:spPr/>
    </dgm:pt>
    <dgm:pt modelId="{F8D508A8-BEF8-4540-9112-4C9BA7DD2C27}" type="pres">
      <dgm:prSet presAssocID="{388B1D47-8E88-401A-B82A-CF14C78B61AC}" presName="linNode" presStyleCnt="0"/>
      <dgm:spPr/>
    </dgm:pt>
    <dgm:pt modelId="{2B3A2A25-B8C5-4D94-AF42-ABDF71D9542C}" type="pres">
      <dgm:prSet presAssocID="{388B1D47-8E88-401A-B82A-CF14C78B61AC}" presName="parentText" presStyleLbl="node1" presStyleIdx="3" presStyleCnt="4">
        <dgm:presLayoutVars>
          <dgm:chMax val="1"/>
          <dgm:bulletEnabled val="1"/>
        </dgm:presLayoutVars>
      </dgm:prSet>
      <dgm:spPr/>
    </dgm:pt>
    <dgm:pt modelId="{EBF291BB-F1CF-467E-8969-24862A400257}" type="pres">
      <dgm:prSet presAssocID="{388B1D47-8E88-401A-B82A-CF14C78B61AC}" presName="descendantText" presStyleLbl="alignAccFollowNode1" presStyleIdx="3" presStyleCnt="4">
        <dgm:presLayoutVars>
          <dgm:bulletEnabled val="1"/>
        </dgm:presLayoutVars>
      </dgm:prSet>
      <dgm:spPr/>
    </dgm:pt>
  </dgm:ptLst>
  <dgm:cxnLst>
    <dgm:cxn modelId="{63434318-8654-47AC-929F-A8A64BBAE889}" type="presOf" srcId="{D7371E69-78FF-4452-ADB5-B5217953A0D3}" destId="{95F46296-435A-4743-A878-0FF122DB250F}" srcOrd="0" destOrd="1" presId="urn:microsoft.com/office/officeart/2005/8/layout/vList5"/>
    <dgm:cxn modelId="{6623762D-05AE-4898-A2ED-386A51A236C3}" type="presOf" srcId="{C573FE9D-0600-49CF-A190-7E9409CA7C2E}" destId="{DF01F6C8-9035-4A0D-AD9E-88EA06E8CB27}" srcOrd="0" destOrd="1" presId="urn:microsoft.com/office/officeart/2005/8/layout/vList5"/>
    <dgm:cxn modelId="{4B3E1F36-00D5-4FD0-9ABB-10B334CF932A}" srcId="{58077101-6F8D-46ED-AB2C-36AF4C277C67}" destId="{EC32FD77-557F-4C8F-940E-0C46A7D3D8FC}" srcOrd="0" destOrd="0" parTransId="{B029C8D4-57EA-4DE0-B0E2-F35F1F69D638}" sibTransId="{FCB612A4-2BD7-4501-9526-425D83AF2F70}"/>
    <dgm:cxn modelId="{7E6F303C-4AC4-4351-A746-108F1A87B0E2}" type="presOf" srcId="{58077101-6F8D-46ED-AB2C-36AF4C277C67}" destId="{62A7AE1F-64E6-423B-B8E9-B4BA83AFA06F}" srcOrd="0" destOrd="0" presId="urn:microsoft.com/office/officeart/2005/8/layout/vList5"/>
    <dgm:cxn modelId="{4BDF475E-DADE-4B7A-89F4-F4A69D4FE26B}" type="presOf" srcId="{5B9E9E03-FE90-43E7-B5C0-EE1CA23D1C9C}" destId="{85270EE1-A612-4611-BC28-D12331F89AB5}" srcOrd="0" destOrd="0" presId="urn:microsoft.com/office/officeart/2005/8/layout/vList5"/>
    <dgm:cxn modelId="{41421A61-1340-4164-B2A5-03618E09F1C4}" srcId="{388B1D47-8E88-401A-B82A-CF14C78B61AC}" destId="{E1B05190-487A-4961-AE05-951F4A0D921F}" srcOrd="0" destOrd="0" parTransId="{5853116F-5E3C-49B3-A67C-D1B0A2D0FA31}" sibTransId="{F98DDCEA-51B9-4811-B5D4-294A93978421}"/>
    <dgm:cxn modelId="{0F9A2064-7CE0-43DF-B73B-FFFD8B16270F}" srcId="{7D4E47F3-7F74-4A62-A7A3-C495B6C5C9E5}" destId="{D016EAB4-0251-45D5-B3E5-B8C7E7849209}" srcOrd="0" destOrd="0" parTransId="{D93F1AC8-1F0A-4BB2-8BF8-2E29F7B1C280}" sibTransId="{A92B879F-6DDA-4B8D-9657-7A699216FD53}"/>
    <dgm:cxn modelId="{FEE4A165-65CD-4748-BE1C-06C99165CB93}" srcId="{5B9E9E03-FE90-43E7-B5C0-EE1CA23D1C9C}" destId="{B404611C-B8E6-4713-B705-FCA668314ADF}" srcOrd="0" destOrd="0" parTransId="{15605D98-1837-43C8-BB90-F56146BE2624}" sibTransId="{4558ABA4-DFCB-4AF3-8CEE-937EA78D9B3B}"/>
    <dgm:cxn modelId="{FFDA9569-B798-4353-A722-145725C52E28}" srcId="{EC32FD77-557F-4C8F-940E-0C46A7D3D8FC}" destId="{C573FE9D-0600-49CF-A190-7E9409CA7C2E}" srcOrd="1" destOrd="0" parTransId="{800F83DA-2346-473B-9673-4DC53E77B260}" sibTransId="{1792161C-28BC-4ACE-83C8-4FF969CB5CEF}"/>
    <dgm:cxn modelId="{D06D0F6F-8E04-4077-9649-E5D3FCE25DD2}" type="presOf" srcId="{D016EAB4-0251-45D5-B3E5-B8C7E7849209}" destId="{A93B53CC-EA9C-4008-9304-1C4DFB359AC7}" srcOrd="0" destOrd="0" presId="urn:microsoft.com/office/officeart/2005/8/layout/vList5"/>
    <dgm:cxn modelId="{4D2B8C70-6806-4CEB-BCD6-4435F7189624}" type="presOf" srcId="{425BF68D-7BEE-4B1B-BCAC-DEE265ACF375}" destId="{DF01F6C8-9035-4A0D-AD9E-88EA06E8CB27}" srcOrd="0" destOrd="0" presId="urn:microsoft.com/office/officeart/2005/8/layout/vList5"/>
    <dgm:cxn modelId="{0635B070-7DAB-419E-9C6C-A73ADBBB7A43}" type="presOf" srcId="{B404611C-B8E6-4713-B705-FCA668314ADF}" destId="{95F46296-435A-4743-A878-0FF122DB250F}" srcOrd="0" destOrd="0" presId="urn:microsoft.com/office/officeart/2005/8/layout/vList5"/>
    <dgm:cxn modelId="{B782B650-85F3-4338-86E1-7490320461A0}" srcId="{58077101-6F8D-46ED-AB2C-36AF4C277C67}" destId="{7D4E47F3-7F74-4A62-A7A3-C495B6C5C9E5}" srcOrd="2" destOrd="0" parTransId="{F6BE50A9-0414-414B-A36B-96CB2F285594}" sibTransId="{D5FAEFB0-67FB-40C6-B3B4-ED5CCA6FA227}"/>
    <dgm:cxn modelId="{4D97AE52-A4D1-46AB-9F96-A32C7A2B88F3}" type="presOf" srcId="{E1B05190-487A-4961-AE05-951F4A0D921F}" destId="{EBF291BB-F1CF-467E-8969-24862A400257}" srcOrd="0" destOrd="0" presId="urn:microsoft.com/office/officeart/2005/8/layout/vList5"/>
    <dgm:cxn modelId="{0F4BAC7C-7EBC-486E-B1F4-06000A35E2D8}" srcId="{EC32FD77-557F-4C8F-940E-0C46A7D3D8FC}" destId="{425BF68D-7BEE-4B1B-BCAC-DEE265ACF375}" srcOrd="0" destOrd="0" parTransId="{1D192BE1-5634-4B88-A7F6-9BEB670DEB64}" sibTransId="{3D9FC2FC-425D-4A78-B994-18C6C79C3ED2}"/>
    <dgm:cxn modelId="{D6422482-677C-48CB-8659-FA555B9F0672}" type="presOf" srcId="{EC32FD77-557F-4C8F-940E-0C46A7D3D8FC}" destId="{02647B31-FA5B-475F-85F9-4E4C4004CD42}" srcOrd="0" destOrd="0" presId="urn:microsoft.com/office/officeart/2005/8/layout/vList5"/>
    <dgm:cxn modelId="{B660198D-631D-4060-98B2-E007C3FFF6AB}" srcId="{58077101-6F8D-46ED-AB2C-36AF4C277C67}" destId="{388B1D47-8E88-401A-B82A-CF14C78B61AC}" srcOrd="3" destOrd="0" parTransId="{DBAD71AD-0FD6-4BAE-A213-1C04655D5485}" sibTransId="{C2E57286-AE0D-4A3E-B4C1-A705F5D00B38}"/>
    <dgm:cxn modelId="{8F02CC8F-F020-469A-8D8C-FB7A7566BD2D}" type="presOf" srcId="{388B1D47-8E88-401A-B82A-CF14C78B61AC}" destId="{2B3A2A25-B8C5-4D94-AF42-ABDF71D9542C}" srcOrd="0" destOrd="0" presId="urn:microsoft.com/office/officeart/2005/8/layout/vList5"/>
    <dgm:cxn modelId="{404078A8-09DD-4342-8865-188DB9931E12}" srcId="{5B9E9E03-FE90-43E7-B5C0-EE1CA23D1C9C}" destId="{D7371E69-78FF-4452-ADB5-B5217953A0D3}" srcOrd="1" destOrd="0" parTransId="{78817E27-2796-4973-942D-A04D5459A030}" sibTransId="{8D9E621D-5C5C-40FD-B58F-DB10E1C73699}"/>
    <dgm:cxn modelId="{59CD01B5-84DB-48B5-9861-4B70C3C394E5}" type="presOf" srcId="{7D4E47F3-7F74-4A62-A7A3-C495B6C5C9E5}" destId="{8DDA5B10-1672-479B-A72B-7FC375CC31C7}" srcOrd="0" destOrd="0" presId="urn:microsoft.com/office/officeart/2005/8/layout/vList5"/>
    <dgm:cxn modelId="{C209BBF2-9148-4509-B6FD-A70706EB802B}" srcId="{58077101-6F8D-46ED-AB2C-36AF4C277C67}" destId="{5B9E9E03-FE90-43E7-B5C0-EE1CA23D1C9C}" srcOrd="1" destOrd="0" parTransId="{5A4AB983-05E7-46B0-8CAC-B7CA7534A46E}" sibTransId="{6C7D0D4A-28DC-43FC-947D-0F9325AF4A02}"/>
    <dgm:cxn modelId="{67D74BAF-8E08-46A0-8F2C-48707F01B8FB}" type="presParOf" srcId="{62A7AE1F-64E6-423B-B8E9-B4BA83AFA06F}" destId="{055F31BA-73AC-40EE-82F9-960AA6AE0CE0}" srcOrd="0" destOrd="0" presId="urn:microsoft.com/office/officeart/2005/8/layout/vList5"/>
    <dgm:cxn modelId="{C6663577-D0FD-40A3-A9CB-253038F604B9}" type="presParOf" srcId="{055F31BA-73AC-40EE-82F9-960AA6AE0CE0}" destId="{02647B31-FA5B-475F-85F9-4E4C4004CD42}" srcOrd="0" destOrd="0" presId="urn:microsoft.com/office/officeart/2005/8/layout/vList5"/>
    <dgm:cxn modelId="{5D337C90-5A44-4813-8D9A-6CD7E2F8BB05}" type="presParOf" srcId="{055F31BA-73AC-40EE-82F9-960AA6AE0CE0}" destId="{DF01F6C8-9035-4A0D-AD9E-88EA06E8CB27}" srcOrd="1" destOrd="0" presId="urn:microsoft.com/office/officeart/2005/8/layout/vList5"/>
    <dgm:cxn modelId="{11666487-2996-4D50-B721-A7FF8FA61999}" type="presParOf" srcId="{62A7AE1F-64E6-423B-B8E9-B4BA83AFA06F}" destId="{A1745553-4728-4B82-9713-16F60C446C3C}" srcOrd="1" destOrd="0" presId="urn:microsoft.com/office/officeart/2005/8/layout/vList5"/>
    <dgm:cxn modelId="{5496FD3C-E88F-43E9-858A-5E741E046669}" type="presParOf" srcId="{62A7AE1F-64E6-423B-B8E9-B4BA83AFA06F}" destId="{743FA621-8BF9-42D0-8CEA-3DF9ED425617}" srcOrd="2" destOrd="0" presId="urn:microsoft.com/office/officeart/2005/8/layout/vList5"/>
    <dgm:cxn modelId="{856195BB-D265-429D-9916-053DD9321D0B}" type="presParOf" srcId="{743FA621-8BF9-42D0-8CEA-3DF9ED425617}" destId="{85270EE1-A612-4611-BC28-D12331F89AB5}" srcOrd="0" destOrd="0" presId="urn:microsoft.com/office/officeart/2005/8/layout/vList5"/>
    <dgm:cxn modelId="{163BABDF-0BDA-486B-8D78-D38260744EA1}" type="presParOf" srcId="{743FA621-8BF9-42D0-8CEA-3DF9ED425617}" destId="{95F46296-435A-4743-A878-0FF122DB250F}" srcOrd="1" destOrd="0" presId="urn:microsoft.com/office/officeart/2005/8/layout/vList5"/>
    <dgm:cxn modelId="{FF0FE032-EA2C-430E-896C-7D9FE8B05ADF}" type="presParOf" srcId="{62A7AE1F-64E6-423B-B8E9-B4BA83AFA06F}" destId="{453DE519-E036-4B9F-82FE-FCFAF6D3D743}" srcOrd="3" destOrd="0" presId="urn:microsoft.com/office/officeart/2005/8/layout/vList5"/>
    <dgm:cxn modelId="{4389D48E-D1C7-4E5B-B634-3B7B901125B6}" type="presParOf" srcId="{62A7AE1F-64E6-423B-B8E9-B4BA83AFA06F}" destId="{6A34E52C-B038-43DB-AB16-31058DDB940E}" srcOrd="4" destOrd="0" presId="urn:microsoft.com/office/officeart/2005/8/layout/vList5"/>
    <dgm:cxn modelId="{C0C9455B-7B0A-466C-AFED-9D223E37F3E1}" type="presParOf" srcId="{6A34E52C-B038-43DB-AB16-31058DDB940E}" destId="{8DDA5B10-1672-479B-A72B-7FC375CC31C7}" srcOrd="0" destOrd="0" presId="urn:microsoft.com/office/officeart/2005/8/layout/vList5"/>
    <dgm:cxn modelId="{94AB2C48-C114-4E4F-AD66-93682B17852B}" type="presParOf" srcId="{6A34E52C-B038-43DB-AB16-31058DDB940E}" destId="{A93B53CC-EA9C-4008-9304-1C4DFB359AC7}" srcOrd="1" destOrd="0" presId="urn:microsoft.com/office/officeart/2005/8/layout/vList5"/>
    <dgm:cxn modelId="{16040B94-EFA8-48C3-AC9D-44F40E0E7499}" type="presParOf" srcId="{62A7AE1F-64E6-423B-B8E9-B4BA83AFA06F}" destId="{51794EAD-40E4-4E87-9F07-15445FCB1B57}" srcOrd="5" destOrd="0" presId="urn:microsoft.com/office/officeart/2005/8/layout/vList5"/>
    <dgm:cxn modelId="{20FDBFFE-371B-43B9-873F-E82C0F764148}" type="presParOf" srcId="{62A7AE1F-64E6-423B-B8E9-B4BA83AFA06F}" destId="{F8D508A8-BEF8-4540-9112-4C9BA7DD2C27}" srcOrd="6" destOrd="0" presId="urn:microsoft.com/office/officeart/2005/8/layout/vList5"/>
    <dgm:cxn modelId="{41F7B2EC-DF30-414A-ABE5-05ECEA26CC0A}" type="presParOf" srcId="{F8D508A8-BEF8-4540-9112-4C9BA7DD2C27}" destId="{2B3A2A25-B8C5-4D94-AF42-ABDF71D9542C}" srcOrd="0" destOrd="0" presId="urn:microsoft.com/office/officeart/2005/8/layout/vList5"/>
    <dgm:cxn modelId="{92875A5B-2FE8-43F2-864D-6B539F721BCF}" type="presParOf" srcId="{F8D508A8-BEF8-4540-9112-4C9BA7DD2C27}" destId="{EBF291BB-F1CF-467E-8969-24862A400257}" srcOrd="1" destOrd="0" presId="urn:microsoft.com/office/officeart/2005/8/layout/vList5"/>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C495BC1-2812-4CC1-A79F-C6D8006564EA}" type="doc">
      <dgm:prSet loTypeId="urn:microsoft.com/office/officeart/2005/8/layout/StepDownProcess#1" loCatId="process" qsTypeId="urn:microsoft.com/office/officeart/2005/8/quickstyle/simple1#2" qsCatId="simple" csTypeId="urn:microsoft.com/office/officeart/2005/8/colors/accent0_1#2" csCatId="mainScheme" phldr="1"/>
      <dgm:spPr/>
      <dgm:t>
        <a:bodyPr/>
        <a:lstStyle/>
        <a:p>
          <a:endParaRPr lang="es-MX"/>
        </a:p>
      </dgm:t>
    </dgm:pt>
    <dgm:pt modelId="{AF100A2E-21A1-44DA-A358-AB5329278151}">
      <dgm:prSet phldrT="[Texto]" custT="1"/>
      <dgm:spPr/>
      <dgm:t>
        <a:bodyPr/>
        <a:lstStyle/>
        <a:p>
          <a:r>
            <a:rPr lang="es-MX" sz="1200">
              <a:latin typeface="Arial" panose="020B0604020202020204" pitchFamily="2" charset="0"/>
              <a:cs typeface="Arial" panose="020B0604020202020204" pitchFamily="2" charset="0"/>
            </a:rPr>
            <a:t>Específicar el modelo</a:t>
          </a:r>
        </a:p>
      </dgm:t>
    </dgm:pt>
    <dgm:pt modelId="{2236DF06-8389-40BE-8222-3671ABC1E689}" type="parTrans" cxnId="{ED743E15-581B-4935-A72B-F59914069793}">
      <dgm:prSet/>
      <dgm:spPr/>
      <dgm:t>
        <a:bodyPr/>
        <a:lstStyle/>
        <a:p>
          <a:endParaRPr lang="es-MX" sz="1200">
            <a:latin typeface="Arial" panose="020B0604020202020204" pitchFamily="2" charset="0"/>
            <a:cs typeface="Arial" panose="020B0604020202020204" pitchFamily="2" charset="0"/>
          </a:endParaRPr>
        </a:p>
      </dgm:t>
    </dgm:pt>
    <dgm:pt modelId="{38F63E66-92FA-475E-95EC-94AA65CDAF2B}" type="sibTrans" cxnId="{ED743E15-581B-4935-A72B-F59914069793}">
      <dgm:prSet/>
      <dgm:spPr/>
      <dgm:t>
        <a:bodyPr/>
        <a:lstStyle/>
        <a:p>
          <a:endParaRPr lang="es-MX" sz="1200">
            <a:latin typeface="Arial" panose="020B0604020202020204" pitchFamily="2" charset="0"/>
            <a:cs typeface="Arial" panose="020B0604020202020204" pitchFamily="2" charset="0"/>
          </a:endParaRPr>
        </a:p>
      </dgm:t>
    </dgm:pt>
    <dgm:pt modelId="{A1013F26-5C18-4AB6-8990-1AA183E64A10}">
      <dgm:prSet phldrT="[Texto]" custT="1"/>
      <dgm:spPr/>
      <dgm:t>
        <a:bodyPr/>
        <a:lstStyle/>
        <a:p>
          <a:r>
            <a:rPr lang="es-MX" sz="1200">
              <a:latin typeface="Arial" panose="020B0604020202020204" pitchFamily="2" charset="0"/>
              <a:cs typeface="Arial" panose="020B0604020202020204" pitchFamily="2" charset="0"/>
            </a:rPr>
            <a:t>Identificar el modelo</a:t>
          </a:r>
        </a:p>
      </dgm:t>
    </dgm:pt>
    <dgm:pt modelId="{D6F5E273-ADBF-470E-BB28-5F3D9B39367B}" type="parTrans" cxnId="{C23DAE1C-0BBC-4AFC-A5C2-B1065C2F2D55}">
      <dgm:prSet/>
      <dgm:spPr/>
      <dgm:t>
        <a:bodyPr/>
        <a:lstStyle/>
        <a:p>
          <a:endParaRPr lang="es-MX" sz="1200">
            <a:latin typeface="Arial" panose="020B0604020202020204" pitchFamily="2" charset="0"/>
            <a:cs typeface="Arial" panose="020B0604020202020204" pitchFamily="2" charset="0"/>
          </a:endParaRPr>
        </a:p>
      </dgm:t>
    </dgm:pt>
    <dgm:pt modelId="{F69BC6BE-C567-4FF9-91E5-F92FC24F79EE}" type="sibTrans" cxnId="{C23DAE1C-0BBC-4AFC-A5C2-B1065C2F2D55}">
      <dgm:prSet/>
      <dgm:spPr/>
      <dgm:t>
        <a:bodyPr/>
        <a:lstStyle/>
        <a:p>
          <a:endParaRPr lang="es-MX" sz="1200">
            <a:latin typeface="Arial" panose="020B0604020202020204" pitchFamily="2" charset="0"/>
            <a:cs typeface="Arial" panose="020B0604020202020204" pitchFamily="2" charset="0"/>
          </a:endParaRPr>
        </a:p>
      </dgm:t>
    </dgm:pt>
    <dgm:pt modelId="{E70B7B49-ED1F-46EA-B5B7-888C806D76BD}">
      <dgm:prSet phldrT="[Texto]" custT="1"/>
      <dgm:spPr/>
      <dgm:t>
        <a:bodyPr/>
        <a:lstStyle/>
        <a:p>
          <a:r>
            <a:rPr lang="es-MX" sz="1200">
              <a:latin typeface="Arial" panose="020B0604020202020204" pitchFamily="2" charset="0"/>
              <a:cs typeface="Arial" panose="020B0604020202020204" pitchFamily="2" charset="0"/>
            </a:rPr>
            <a:t>Alfa de Cronbach</a:t>
          </a:r>
        </a:p>
      </dgm:t>
    </dgm:pt>
    <dgm:pt modelId="{B060069A-4707-4EA5-81F7-AD34CBAA6C06}" type="parTrans" cxnId="{6525A56B-F60F-47F4-8A53-84CC0338FCFB}">
      <dgm:prSet/>
      <dgm:spPr/>
      <dgm:t>
        <a:bodyPr/>
        <a:lstStyle/>
        <a:p>
          <a:endParaRPr lang="es-MX" sz="1200">
            <a:latin typeface="Arial" panose="020B0604020202020204" pitchFamily="2" charset="0"/>
            <a:cs typeface="Arial" panose="020B0604020202020204" pitchFamily="2" charset="0"/>
          </a:endParaRPr>
        </a:p>
      </dgm:t>
    </dgm:pt>
    <dgm:pt modelId="{18D34503-C31C-4313-ABB4-636722E15F1F}" type="sibTrans" cxnId="{6525A56B-F60F-47F4-8A53-84CC0338FCFB}">
      <dgm:prSet/>
      <dgm:spPr/>
      <dgm:t>
        <a:bodyPr/>
        <a:lstStyle/>
        <a:p>
          <a:endParaRPr lang="es-MX" sz="1200">
            <a:latin typeface="Arial" panose="020B0604020202020204" pitchFamily="2" charset="0"/>
            <a:cs typeface="Arial" panose="020B0604020202020204" pitchFamily="2" charset="0"/>
          </a:endParaRPr>
        </a:p>
      </dgm:t>
    </dgm:pt>
    <dgm:pt modelId="{01A26EEE-703C-47C4-B580-D9D55D6A1F7E}">
      <dgm:prSet phldrT="[Texto]" custT="1"/>
      <dgm:spPr/>
      <dgm:t>
        <a:bodyPr/>
        <a:lstStyle/>
        <a:p>
          <a:r>
            <a:rPr lang="es-MX" sz="1200">
              <a:latin typeface="Arial" panose="020B0604020202020204" pitchFamily="2" charset="0"/>
              <a:cs typeface="Arial" panose="020B0604020202020204" pitchFamily="2" charset="0"/>
            </a:rPr>
            <a:t>Estimar los parámetros</a:t>
          </a:r>
        </a:p>
      </dgm:t>
    </dgm:pt>
    <dgm:pt modelId="{C43DF95A-80EE-400F-8756-6A114154C6D0}" type="parTrans" cxnId="{CD323351-C24C-4FAD-9704-9F3FE1437AA5}">
      <dgm:prSet/>
      <dgm:spPr/>
      <dgm:t>
        <a:bodyPr/>
        <a:lstStyle/>
        <a:p>
          <a:endParaRPr lang="es-MX" sz="1200">
            <a:latin typeface="Arial" panose="020B0604020202020204" pitchFamily="2" charset="0"/>
            <a:cs typeface="Arial" panose="020B0604020202020204" pitchFamily="2" charset="0"/>
          </a:endParaRPr>
        </a:p>
      </dgm:t>
    </dgm:pt>
    <dgm:pt modelId="{93ED9591-1582-464D-8EFF-F33796771F61}" type="sibTrans" cxnId="{CD323351-C24C-4FAD-9704-9F3FE1437AA5}">
      <dgm:prSet/>
      <dgm:spPr/>
      <dgm:t>
        <a:bodyPr/>
        <a:lstStyle/>
        <a:p>
          <a:endParaRPr lang="es-MX" sz="1200">
            <a:latin typeface="Arial" panose="020B0604020202020204" pitchFamily="2" charset="0"/>
            <a:cs typeface="Arial" panose="020B0604020202020204" pitchFamily="2" charset="0"/>
          </a:endParaRPr>
        </a:p>
      </dgm:t>
    </dgm:pt>
    <dgm:pt modelId="{B2D05835-5C71-4419-9461-FE4BC1800220}">
      <dgm:prSet phldrT="[Texto]" custT="1"/>
      <dgm:spPr/>
      <dgm:t>
        <a:bodyPr/>
        <a:lstStyle/>
        <a:p>
          <a:r>
            <a:rPr lang="es-MX" sz="1200">
              <a:latin typeface="Arial" panose="020B0604020202020204" pitchFamily="2" charset="0"/>
              <a:cs typeface="Arial" panose="020B0604020202020204" pitchFamily="2" charset="0"/>
            </a:rPr>
            <a:t>Coef. KMO</a:t>
          </a:r>
        </a:p>
      </dgm:t>
    </dgm:pt>
    <dgm:pt modelId="{B4DBB8E7-BE37-4E52-A64D-AD958AF0A206}" type="parTrans" cxnId="{27EF5C1F-9AC2-4DAA-A613-D3FD32C16843}">
      <dgm:prSet/>
      <dgm:spPr/>
      <dgm:t>
        <a:bodyPr/>
        <a:lstStyle/>
        <a:p>
          <a:endParaRPr lang="es-MX" sz="1200">
            <a:latin typeface="Arial" panose="020B0604020202020204" pitchFamily="2" charset="0"/>
            <a:cs typeface="Arial" panose="020B0604020202020204" pitchFamily="2" charset="0"/>
          </a:endParaRPr>
        </a:p>
      </dgm:t>
    </dgm:pt>
    <dgm:pt modelId="{D52DD771-4584-4263-9E5C-D762227A4FD7}" type="sibTrans" cxnId="{27EF5C1F-9AC2-4DAA-A613-D3FD32C16843}">
      <dgm:prSet/>
      <dgm:spPr/>
      <dgm:t>
        <a:bodyPr/>
        <a:lstStyle/>
        <a:p>
          <a:endParaRPr lang="es-MX" sz="1200">
            <a:latin typeface="Arial" panose="020B0604020202020204" pitchFamily="2" charset="0"/>
            <a:cs typeface="Arial" panose="020B0604020202020204" pitchFamily="2" charset="0"/>
          </a:endParaRPr>
        </a:p>
      </dgm:t>
    </dgm:pt>
    <dgm:pt modelId="{AC41D949-F2FC-4C47-81C9-BF23DAED6234}">
      <dgm:prSet phldrT="[Texto]" custT="1"/>
      <dgm:spPr/>
      <dgm:t>
        <a:bodyPr/>
        <a:lstStyle/>
        <a:p>
          <a:r>
            <a:rPr lang="es-MX" sz="1200">
              <a:latin typeface="Arial" panose="020B0604020202020204" pitchFamily="2" charset="0"/>
              <a:cs typeface="Arial" panose="020B0604020202020204" pitchFamily="2" charset="0"/>
            </a:rPr>
            <a:t> test de esfericidad de Bartlett </a:t>
          </a:r>
        </a:p>
      </dgm:t>
    </dgm:pt>
    <dgm:pt modelId="{A78AF65A-2FC3-499F-ADC6-2803DE9A177C}" type="parTrans" cxnId="{C5562442-E6FF-444A-8587-A05613D9C0D9}">
      <dgm:prSet/>
      <dgm:spPr/>
      <dgm:t>
        <a:bodyPr/>
        <a:lstStyle/>
        <a:p>
          <a:endParaRPr lang="es-MX" sz="1200">
            <a:latin typeface="Arial" panose="020B0604020202020204" pitchFamily="2" charset="0"/>
            <a:cs typeface="Arial" panose="020B0604020202020204" pitchFamily="2" charset="0"/>
          </a:endParaRPr>
        </a:p>
      </dgm:t>
    </dgm:pt>
    <dgm:pt modelId="{302EC4CB-E961-4C12-8BAB-E853B0BD41AF}" type="sibTrans" cxnId="{C5562442-E6FF-444A-8587-A05613D9C0D9}">
      <dgm:prSet/>
      <dgm:spPr/>
      <dgm:t>
        <a:bodyPr/>
        <a:lstStyle/>
        <a:p>
          <a:endParaRPr lang="es-MX" sz="1200">
            <a:latin typeface="Arial" panose="020B0604020202020204" pitchFamily="2" charset="0"/>
            <a:cs typeface="Arial" panose="020B0604020202020204" pitchFamily="2" charset="0"/>
          </a:endParaRPr>
        </a:p>
      </dgm:t>
    </dgm:pt>
    <dgm:pt modelId="{52371C79-E934-4A39-B940-5E1F674DB4CB}">
      <dgm:prSet phldrT="[Texto]" custT="1"/>
      <dgm:spPr/>
      <dgm:t>
        <a:bodyPr/>
        <a:lstStyle/>
        <a:p>
          <a:r>
            <a:rPr lang="es-MX" sz="1200">
              <a:latin typeface="Arial" panose="020B0604020202020204" pitchFamily="2" charset="0"/>
              <a:cs typeface="Arial" panose="020B0604020202020204" pitchFamily="2" charset="0"/>
            </a:rPr>
            <a:t>Evaluar el ajuste del modelo</a:t>
          </a:r>
        </a:p>
      </dgm:t>
    </dgm:pt>
    <dgm:pt modelId="{16E4297C-4A99-4CDB-8EBF-2718A30888D3}" type="parTrans" cxnId="{3671FE3E-997D-40B5-97A7-320F33491B72}">
      <dgm:prSet/>
      <dgm:spPr/>
      <dgm:t>
        <a:bodyPr/>
        <a:lstStyle/>
        <a:p>
          <a:endParaRPr lang="es-MX" sz="1200"/>
        </a:p>
      </dgm:t>
    </dgm:pt>
    <dgm:pt modelId="{6F295D7C-92D1-4898-BD0C-CD1F527C1176}" type="sibTrans" cxnId="{3671FE3E-997D-40B5-97A7-320F33491B72}">
      <dgm:prSet/>
      <dgm:spPr/>
      <dgm:t>
        <a:bodyPr/>
        <a:lstStyle/>
        <a:p>
          <a:endParaRPr lang="es-MX" sz="1200"/>
        </a:p>
      </dgm:t>
    </dgm:pt>
    <dgm:pt modelId="{968ABBC4-2337-4763-9F7A-DE14A8D92289}">
      <dgm:prSet phldrT="[Texto]" custT="1"/>
      <dgm:spPr/>
      <dgm:t>
        <a:bodyPr/>
        <a:lstStyle/>
        <a:p>
          <a:r>
            <a:rPr lang="es-MX" sz="1200">
              <a:latin typeface="Arial" panose="020B0604020202020204" pitchFamily="2" charset="0"/>
              <a:cs typeface="Arial" panose="020B0604020202020204" pitchFamily="2" charset="0"/>
            </a:rPr>
            <a:t>Reespecificar en caso necesario</a:t>
          </a:r>
        </a:p>
      </dgm:t>
    </dgm:pt>
    <dgm:pt modelId="{8E926616-FA4E-480B-A1D9-8647B834E748}" type="parTrans" cxnId="{A96D52F7-89F7-4EF0-BD60-F80FB27B3CD0}">
      <dgm:prSet/>
      <dgm:spPr/>
      <dgm:t>
        <a:bodyPr/>
        <a:lstStyle/>
        <a:p>
          <a:endParaRPr lang="es-MX" sz="1200"/>
        </a:p>
      </dgm:t>
    </dgm:pt>
    <dgm:pt modelId="{93A326E6-C8F0-443E-BDA3-68871A39CB70}" type="sibTrans" cxnId="{A96D52F7-89F7-4EF0-BD60-F80FB27B3CD0}">
      <dgm:prSet/>
      <dgm:spPr/>
      <dgm:t>
        <a:bodyPr/>
        <a:lstStyle/>
        <a:p>
          <a:endParaRPr lang="es-MX" sz="1200"/>
        </a:p>
      </dgm:t>
    </dgm:pt>
    <dgm:pt modelId="{7390A60A-8E73-4373-8533-79DB76AC556B}" type="pres">
      <dgm:prSet presAssocID="{CC495BC1-2812-4CC1-A79F-C6D8006564EA}" presName="rootnode" presStyleCnt="0">
        <dgm:presLayoutVars>
          <dgm:chMax/>
          <dgm:chPref/>
          <dgm:dir/>
          <dgm:animLvl val="lvl"/>
        </dgm:presLayoutVars>
      </dgm:prSet>
      <dgm:spPr/>
    </dgm:pt>
    <dgm:pt modelId="{0916A599-48AA-4E68-8E38-EA4A49DCA214}" type="pres">
      <dgm:prSet presAssocID="{AF100A2E-21A1-44DA-A358-AB5329278151}" presName="composite" presStyleCnt="0"/>
      <dgm:spPr/>
    </dgm:pt>
    <dgm:pt modelId="{CDE50E23-8DD4-4115-A6FF-2A12AB1D74E0}" type="pres">
      <dgm:prSet presAssocID="{AF100A2E-21A1-44DA-A358-AB5329278151}" presName="bentUpArrow1" presStyleLbl="alignImgPlace1" presStyleIdx="0" presStyleCnt="4"/>
      <dgm:spPr/>
    </dgm:pt>
    <dgm:pt modelId="{9A55DD1D-B5E1-4A7F-88E8-1C8FB813F4C4}" type="pres">
      <dgm:prSet presAssocID="{AF100A2E-21A1-44DA-A358-AB5329278151}" presName="ParentText" presStyleLbl="node1" presStyleIdx="0" presStyleCnt="5" custScaleX="138967">
        <dgm:presLayoutVars>
          <dgm:chMax val="1"/>
          <dgm:chPref val="1"/>
          <dgm:bulletEnabled val="1"/>
        </dgm:presLayoutVars>
      </dgm:prSet>
      <dgm:spPr/>
    </dgm:pt>
    <dgm:pt modelId="{ECA5A5C3-171C-4B2F-B21B-73B6B863A7A8}" type="pres">
      <dgm:prSet presAssocID="{AF100A2E-21A1-44DA-A358-AB5329278151}" presName="ChildText" presStyleLbl="revTx" presStyleIdx="0" presStyleCnt="4">
        <dgm:presLayoutVars>
          <dgm:chMax val="0"/>
          <dgm:chPref val="0"/>
          <dgm:bulletEnabled val="1"/>
        </dgm:presLayoutVars>
      </dgm:prSet>
      <dgm:spPr/>
    </dgm:pt>
    <dgm:pt modelId="{04DD8A9D-79BF-460D-9E69-DB4D5BD964F7}" type="pres">
      <dgm:prSet presAssocID="{38F63E66-92FA-475E-95EC-94AA65CDAF2B}" presName="sibTrans" presStyleCnt="0"/>
      <dgm:spPr/>
    </dgm:pt>
    <dgm:pt modelId="{B8CA335C-6EDE-42CC-9EAD-B12D3C8993AF}" type="pres">
      <dgm:prSet presAssocID="{A1013F26-5C18-4AB6-8990-1AA183E64A10}" presName="composite" presStyleCnt="0"/>
      <dgm:spPr/>
    </dgm:pt>
    <dgm:pt modelId="{D8E155A3-D494-4BA0-993E-89BDA16F925B}" type="pres">
      <dgm:prSet presAssocID="{A1013F26-5C18-4AB6-8990-1AA183E64A10}" presName="bentUpArrow1" presStyleLbl="alignImgPlace1" presStyleIdx="1" presStyleCnt="4"/>
      <dgm:spPr/>
    </dgm:pt>
    <dgm:pt modelId="{A2502E06-375A-4295-A928-BDB35B574EC0}" type="pres">
      <dgm:prSet presAssocID="{A1013F26-5C18-4AB6-8990-1AA183E64A10}" presName="ParentText" presStyleLbl="node1" presStyleIdx="1" presStyleCnt="5" custScaleX="138967">
        <dgm:presLayoutVars>
          <dgm:chMax val="1"/>
          <dgm:chPref val="1"/>
          <dgm:bulletEnabled val="1"/>
        </dgm:presLayoutVars>
      </dgm:prSet>
      <dgm:spPr/>
    </dgm:pt>
    <dgm:pt modelId="{AF6463E8-EC28-4249-94D6-99A51337E270}" type="pres">
      <dgm:prSet presAssocID="{A1013F26-5C18-4AB6-8990-1AA183E64A10}" presName="ChildText" presStyleLbl="revTx" presStyleIdx="1" presStyleCnt="4" custScaleX="414004" custLinFactX="91317" custLinFactNeighborX="100000" custLinFactNeighborY="4096">
        <dgm:presLayoutVars>
          <dgm:chMax val="0"/>
          <dgm:chPref val="0"/>
          <dgm:bulletEnabled val="1"/>
        </dgm:presLayoutVars>
      </dgm:prSet>
      <dgm:spPr/>
    </dgm:pt>
    <dgm:pt modelId="{F6F85CD1-9C03-45C8-97E4-5CC597B3588C}" type="pres">
      <dgm:prSet presAssocID="{F69BC6BE-C567-4FF9-91E5-F92FC24F79EE}" presName="sibTrans" presStyleCnt="0"/>
      <dgm:spPr/>
    </dgm:pt>
    <dgm:pt modelId="{F6A690C0-42E4-4712-93E4-EF1F19DF78F2}" type="pres">
      <dgm:prSet presAssocID="{01A26EEE-703C-47C4-B580-D9D55D6A1F7E}" presName="composite" presStyleCnt="0"/>
      <dgm:spPr/>
    </dgm:pt>
    <dgm:pt modelId="{A1D4BE32-F2B4-41A6-83B5-7D1E7BBB2EFD}" type="pres">
      <dgm:prSet presAssocID="{01A26EEE-703C-47C4-B580-D9D55D6A1F7E}" presName="bentUpArrow1" presStyleLbl="alignImgPlace1" presStyleIdx="2" presStyleCnt="4"/>
      <dgm:spPr/>
    </dgm:pt>
    <dgm:pt modelId="{2FE8B824-1043-41FF-9DB4-C8343A239D4D}" type="pres">
      <dgm:prSet presAssocID="{01A26EEE-703C-47C4-B580-D9D55D6A1F7E}" presName="ParentText" presStyleLbl="node1" presStyleIdx="2" presStyleCnt="5" custScaleX="138967">
        <dgm:presLayoutVars>
          <dgm:chMax val="1"/>
          <dgm:chPref val="1"/>
          <dgm:bulletEnabled val="1"/>
        </dgm:presLayoutVars>
      </dgm:prSet>
      <dgm:spPr/>
    </dgm:pt>
    <dgm:pt modelId="{F4E720DF-5895-4FA7-8D05-6514A7C8516C}" type="pres">
      <dgm:prSet presAssocID="{01A26EEE-703C-47C4-B580-D9D55D6A1F7E}" presName="ChildText" presStyleLbl="revTx" presStyleIdx="2" presStyleCnt="4">
        <dgm:presLayoutVars>
          <dgm:chMax val="0"/>
          <dgm:chPref val="0"/>
          <dgm:bulletEnabled val="1"/>
        </dgm:presLayoutVars>
      </dgm:prSet>
      <dgm:spPr/>
    </dgm:pt>
    <dgm:pt modelId="{B00AC804-E0BD-4128-92A8-5534FECE7678}" type="pres">
      <dgm:prSet presAssocID="{93ED9591-1582-464D-8EFF-F33796771F61}" presName="sibTrans" presStyleCnt="0"/>
      <dgm:spPr/>
    </dgm:pt>
    <dgm:pt modelId="{728B00E3-8245-463C-8370-3A956242FE4B}" type="pres">
      <dgm:prSet presAssocID="{52371C79-E934-4A39-B940-5E1F674DB4CB}" presName="composite" presStyleCnt="0"/>
      <dgm:spPr/>
    </dgm:pt>
    <dgm:pt modelId="{6DEA87FD-BF28-4149-A863-25558AD7F63A}" type="pres">
      <dgm:prSet presAssocID="{52371C79-E934-4A39-B940-5E1F674DB4CB}" presName="bentUpArrow1" presStyleLbl="alignImgPlace1" presStyleIdx="3" presStyleCnt="4"/>
      <dgm:spPr/>
    </dgm:pt>
    <dgm:pt modelId="{1B8FC528-AAC7-45B7-B8C7-3137382CA505}" type="pres">
      <dgm:prSet presAssocID="{52371C79-E934-4A39-B940-5E1F674DB4CB}" presName="ParentText" presStyleLbl="node1" presStyleIdx="3" presStyleCnt="5" custScaleX="138967">
        <dgm:presLayoutVars>
          <dgm:chMax val="1"/>
          <dgm:chPref val="1"/>
          <dgm:bulletEnabled val="1"/>
        </dgm:presLayoutVars>
      </dgm:prSet>
      <dgm:spPr/>
    </dgm:pt>
    <dgm:pt modelId="{6F2C14E0-54CD-4D26-AAD5-8EA86D331450}" type="pres">
      <dgm:prSet presAssocID="{52371C79-E934-4A39-B940-5E1F674DB4CB}" presName="ChildText" presStyleLbl="revTx" presStyleIdx="3" presStyleCnt="4">
        <dgm:presLayoutVars>
          <dgm:chMax val="0"/>
          <dgm:chPref val="0"/>
          <dgm:bulletEnabled val="1"/>
        </dgm:presLayoutVars>
      </dgm:prSet>
      <dgm:spPr/>
    </dgm:pt>
    <dgm:pt modelId="{B2D985E0-0542-4C6D-978F-5138EF0B5D39}" type="pres">
      <dgm:prSet presAssocID="{6F295D7C-92D1-4898-BD0C-CD1F527C1176}" presName="sibTrans" presStyleCnt="0"/>
      <dgm:spPr/>
    </dgm:pt>
    <dgm:pt modelId="{5DA2E987-DC35-4437-AEA8-4DBEF7B252DC}" type="pres">
      <dgm:prSet presAssocID="{968ABBC4-2337-4763-9F7A-DE14A8D92289}" presName="composite" presStyleCnt="0"/>
      <dgm:spPr/>
    </dgm:pt>
    <dgm:pt modelId="{6CD8DEB8-3841-4B97-8AAF-82BA6287922A}" type="pres">
      <dgm:prSet presAssocID="{968ABBC4-2337-4763-9F7A-DE14A8D92289}" presName="ParentText" presStyleLbl="node1" presStyleIdx="4" presStyleCnt="5" custScaleX="173560">
        <dgm:presLayoutVars>
          <dgm:chMax val="1"/>
          <dgm:chPref val="1"/>
          <dgm:bulletEnabled val="1"/>
        </dgm:presLayoutVars>
      </dgm:prSet>
      <dgm:spPr/>
    </dgm:pt>
  </dgm:ptLst>
  <dgm:cxnLst>
    <dgm:cxn modelId="{ED743E15-581B-4935-A72B-F59914069793}" srcId="{CC495BC1-2812-4CC1-A79F-C6D8006564EA}" destId="{AF100A2E-21A1-44DA-A358-AB5329278151}" srcOrd="0" destOrd="0" parTransId="{2236DF06-8389-40BE-8222-3671ABC1E689}" sibTransId="{38F63E66-92FA-475E-95EC-94AA65CDAF2B}"/>
    <dgm:cxn modelId="{C23DAE1C-0BBC-4AFC-A5C2-B1065C2F2D55}" srcId="{CC495BC1-2812-4CC1-A79F-C6D8006564EA}" destId="{A1013F26-5C18-4AB6-8990-1AA183E64A10}" srcOrd="1" destOrd="0" parTransId="{D6F5E273-ADBF-470E-BB28-5F3D9B39367B}" sibTransId="{F69BC6BE-C567-4FF9-91E5-F92FC24F79EE}"/>
    <dgm:cxn modelId="{9698321E-D163-4988-8B80-AC9431543724}" type="presOf" srcId="{968ABBC4-2337-4763-9F7A-DE14A8D92289}" destId="{6CD8DEB8-3841-4B97-8AAF-82BA6287922A}" srcOrd="0" destOrd="0" presId="urn:microsoft.com/office/officeart/2005/8/layout/StepDownProcess#1"/>
    <dgm:cxn modelId="{27EF5C1F-9AC2-4DAA-A613-D3FD32C16843}" srcId="{A1013F26-5C18-4AB6-8990-1AA183E64A10}" destId="{B2D05835-5C71-4419-9461-FE4BC1800220}" srcOrd="1" destOrd="0" parTransId="{B4DBB8E7-BE37-4E52-A64D-AD958AF0A206}" sibTransId="{D52DD771-4584-4263-9E5C-D762227A4FD7}"/>
    <dgm:cxn modelId="{C8569928-8FB5-4732-8F5F-771EE774A11E}" type="presOf" srcId="{52371C79-E934-4A39-B940-5E1F674DB4CB}" destId="{1B8FC528-AAC7-45B7-B8C7-3137382CA505}" srcOrd="0" destOrd="0" presId="urn:microsoft.com/office/officeart/2005/8/layout/StepDownProcess#1"/>
    <dgm:cxn modelId="{5BEE3C2B-8B49-44D1-889B-6905B2409EDE}" type="presOf" srcId="{AF100A2E-21A1-44DA-A358-AB5329278151}" destId="{9A55DD1D-B5E1-4A7F-88E8-1C8FB813F4C4}" srcOrd="0" destOrd="0" presId="urn:microsoft.com/office/officeart/2005/8/layout/StepDownProcess#1"/>
    <dgm:cxn modelId="{B9DD8A2D-F977-4451-99A3-8C798518779D}" type="presOf" srcId="{AC41D949-F2FC-4C47-81C9-BF23DAED6234}" destId="{AF6463E8-EC28-4249-94D6-99A51337E270}" srcOrd="0" destOrd="2" presId="urn:microsoft.com/office/officeart/2005/8/layout/StepDownProcess#1"/>
    <dgm:cxn modelId="{3671FE3E-997D-40B5-97A7-320F33491B72}" srcId="{CC495BC1-2812-4CC1-A79F-C6D8006564EA}" destId="{52371C79-E934-4A39-B940-5E1F674DB4CB}" srcOrd="3" destOrd="0" parTransId="{16E4297C-4A99-4CDB-8EBF-2718A30888D3}" sibTransId="{6F295D7C-92D1-4898-BD0C-CD1F527C1176}"/>
    <dgm:cxn modelId="{C5562442-E6FF-444A-8587-A05613D9C0D9}" srcId="{A1013F26-5C18-4AB6-8990-1AA183E64A10}" destId="{AC41D949-F2FC-4C47-81C9-BF23DAED6234}" srcOrd="2" destOrd="0" parTransId="{A78AF65A-2FC3-499F-ADC6-2803DE9A177C}" sibTransId="{302EC4CB-E961-4C12-8BAB-E853B0BD41AF}"/>
    <dgm:cxn modelId="{C4F09463-B6A2-42E5-A50B-4E275FE11940}" type="presOf" srcId="{01A26EEE-703C-47C4-B580-D9D55D6A1F7E}" destId="{2FE8B824-1043-41FF-9DB4-C8343A239D4D}" srcOrd="0" destOrd="0" presId="urn:microsoft.com/office/officeart/2005/8/layout/StepDownProcess#1"/>
    <dgm:cxn modelId="{6525A56B-F60F-47F4-8A53-84CC0338FCFB}" srcId="{A1013F26-5C18-4AB6-8990-1AA183E64A10}" destId="{E70B7B49-ED1F-46EA-B5B7-888C806D76BD}" srcOrd="0" destOrd="0" parTransId="{B060069A-4707-4EA5-81F7-AD34CBAA6C06}" sibTransId="{18D34503-C31C-4313-ABB4-636722E15F1F}"/>
    <dgm:cxn modelId="{7C76676D-AC09-4CC2-8663-720D9AB81531}" type="presOf" srcId="{A1013F26-5C18-4AB6-8990-1AA183E64A10}" destId="{A2502E06-375A-4295-A928-BDB35B574EC0}" srcOrd="0" destOrd="0" presId="urn:microsoft.com/office/officeart/2005/8/layout/StepDownProcess#1"/>
    <dgm:cxn modelId="{CD323351-C24C-4FAD-9704-9F3FE1437AA5}" srcId="{CC495BC1-2812-4CC1-A79F-C6D8006564EA}" destId="{01A26EEE-703C-47C4-B580-D9D55D6A1F7E}" srcOrd="2" destOrd="0" parTransId="{C43DF95A-80EE-400F-8756-6A114154C6D0}" sibTransId="{93ED9591-1582-464D-8EFF-F33796771F61}"/>
    <dgm:cxn modelId="{B7D89FA7-20C2-4792-B252-956A5ED6ECAE}" type="presOf" srcId="{CC495BC1-2812-4CC1-A79F-C6D8006564EA}" destId="{7390A60A-8E73-4373-8533-79DB76AC556B}" srcOrd="0" destOrd="0" presId="urn:microsoft.com/office/officeart/2005/8/layout/StepDownProcess#1"/>
    <dgm:cxn modelId="{99BD21E0-74CF-48E8-ACA1-0BD26C7D77F9}" type="presOf" srcId="{B2D05835-5C71-4419-9461-FE4BC1800220}" destId="{AF6463E8-EC28-4249-94D6-99A51337E270}" srcOrd="0" destOrd="1" presId="urn:microsoft.com/office/officeart/2005/8/layout/StepDownProcess#1"/>
    <dgm:cxn modelId="{1BD866F6-A830-472C-A6BA-5300BC1A761D}" type="presOf" srcId="{E70B7B49-ED1F-46EA-B5B7-888C806D76BD}" destId="{AF6463E8-EC28-4249-94D6-99A51337E270}" srcOrd="0" destOrd="0" presId="urn:microsoft.com/office/officeart/2005/8/layout/StepDownProcess#1"/>
    <dgm:cxn modelId="{A96D52F7-89F7-4EF0-BD60-F80FB27B3CD0}" srcId="{CC495BC1-2812-4CC1-A79F-C6D8006564EA}" destId="{968ABBC4-2337-4763-9F7A-DE14A8D92289}" srcOrd="4" destOrd="0" parTransId="{8E926616-FA4E-480B-A1D9-8647B834E748}" sibTransId="{93A326E6-C8F0-443E-BDA3-68871A39CB70}"/>
    <dgm:cxn modelId="{CC8B0D3A-3801-4F80-BDF1-064CFAB0EF96}" type="presParOf" srcId="{7390A60A-8E73-4373-8533-79DB76AC556B}" destId="{0916A599-48AA-4E68-8E38-EA4A49DCA214}" srcOrd="0" destOrd="0" presId="urn:microsoft.com/office/officeart/2005/8/layout/StepDownProcess#1"/>
    <dgm:cxn modelId="{6E2EB0C2-F354-484B-9441-E7AA9F3F2838}" type="presParOf" srcId="{0916A599-48AA-4E68-8E38-EA4A49DCA214}" destId="{CDE50E23-8DD4-4115-A6FF-2A12AB1D74E0}" srcOrd="0" destOrd="0" presId="urn:microsoft.com/office/officeart/2005/8/layout/StepDownProcess#1"/>
    <dgm:cxn modelId="{092D119E-284D-4816-A087-1A98D1847522}" type="presParOf" srcId="{0916A599-48AA-4E68-8E38-EA4A49DCA214}" destId="{9A55DD1D-B5E1-4A7F-88E8-1C8FB813F4C4}" srcOrd="1" destOrd="0" presId="urn:microsoft.com/office/officeart/2005/8/layout/StepDownProcess#1"/>
    <dgm:cxn modelId="{D352A45F-096D-4C20-93F3-F9BB26A8DCD8}" type="presParOf" srcId="{0916A599-48AA-4E68-8E38-EA4A49DCA214}" destId="{ECA5A5C3-171C-4B2F-B21B-73B6B863A7A8}" srcOrd="2" destOrd="0" presId="urn:microsoft.com/office/officeart/2005/8/layout/StepDownProcess#1"/>
    <dgm:cxn modelId="{708F10AB-716F-4807-A58D-AA967643C6A5}" type="presParOf" srcId="{7390A60A-8E73-4373-8533-79DB76AC556B}" destId="{04DD8A9D-79BF-460D-9E69-DB4D5BD964F7}" srcOrd="1" destOrd="0" presId="urn:microsoft.com/office/officeart/2005/8/layout/StepDownProcess#1"/>
    <dgm:cxn modelId="{7E4F6A38-A3E8-47D0-964F-A9F45D5A13C3}" type="presParOf" srcId="{7390A60A-8E73-4373-8533-79DB76AC556B}" destId="{B8CA335C-6EDE-42CC-9EAD-B12D3C8993AF}" srcOrd="2" destOrd="0" presId="urn:microsoft.com/office/officeart/2005/8/layout/StepDownProcess#1"/>
    <dgm:cxn modelId="{DBAAFB33-1199-4991-AE57-03A2F6DFE824}" type="presParOf" srcId="{B8CA335C-6EDE-42CC-9EAD-B12D3C8993AF}" destId="{D8E155A3-D494-4BA0-993E-89BDA16F925B}" srcOrd="0" destOrd="0" presId="urn:microsoft.com/office/officeart/2005/8/layout/StepDownProcess#1"/>
    <dgm:cxn modelId="{823A9253-5C57-4C0D-8C76-898E400A72E2}" type="presParOf" srcId="{B8CA335C-6EDE-42CC-9EAD-B12D3C8993AF}" destId="{A2502E06-375A-4295-A928-BDB35B574EC0}" srcOrd="1" destOrd="0" presId="urn:microsoft.com/office/officeart/2005/8/layout/StepDownProcess#1"/>
    <dgm:cxn modelId="{016C6273-2EDF-4D1F-B254-B26B165C4983}" type="presParOf" srcId="{B8CA335C-6EDE-42CC-9EAD-B12D3C8993AF}" destId="{AF6463E8-EC28-4249-94D6-99A51337E270}" srcOrd="2" destOrd="0" presId="urn:microsoft.com/office/officeart/2005/8/layout/StepDownProcess#1"/>
    <dgm:cxn modelId="{1A9BE88D-385C-42CB-83DC-F223124CA282}" type="presParOf" srcId="{7390A60A-8E73-4373-8533-79DB76AC556B}" destId="{F6F85CD1-9C03-45C8-97E4-5CC597B3588C}" srcOrd="3" destOrd="0" presId="urn:microsoft.com/office/officeart/2005/8/layout/StepDownProcess#1"/>
    <dgm:cxn modelId="{8BFE2BE4-8E49-4AAB-9D18-B356AF78600A}" type="presParOf" srcId="{7390A60A-8E73-4373-8533-79DB76AC556B}" destId="{F6A690C0-42E4-4712-93E4-EF1F19DF78F2}" srcOrd="4" destOrd="0" presId="urn:microsoft.com/office/officeart/2005/8/layout/StepDownProcess#1"/>
    <dgm:cxn modelId="{D70AC573-AA1E-455D-964B-E383BDAF6FB8}" type="presParOf" srcId="{F6A690C0-42E4-4712-93E4-EF1F19DF78F2}" destId="{A1D4BE32-F2B4-41A6-83B5-7D1E7BBB2EFD}" srcOrd="0" destOrd="0" presId="urn:microsoft.com/office/officeart/2005/8/layout/StepDownProcess#1"/>
    <dgm:cxn modelId="{96E58F3C-5E0D-4B9E-9F8B-119DDFAB7162}" type="presParOf" srcId="{F6A690C0-42E4-4712-93E4-EF1F19DF78F2}" destId="{2FE8B824-1043-41FF-9DB4-C8343A239D4D}" srcOrd="1" destOrd="0" presId="urn:microsoft.com/office/officeart/2005/8/layout/StepDownProcess#1"/>
    <dgm:cxn modelId="{1E5856BB-675C-442A-980F-D77BF2CED10F}" type="presParOf" srcId="{F6A690C0-42E4-4712-93E4-EF1F19DF78F2}" destId="{F4E720DF-5895-4FA7-8D05-6514A7C8516C}" srcOrd="2" destOrd="0" presId="urn:microsoft.com/office/officeart/2005/8/layout/StepDownProcess#1"/>
    <dgm:cxn modelId="{AEFEE31F-CBE9-444D-B99F-7F2EC91BFC67}" type="presParOf" srcId="{7390A60A-8E73-4373-8533-79DB76AC556B}" destId="{B00AC804-E0BD-4128-92A8-5534FECE7678}" srcOrd="5" destOrd="0" presId="urn:microsoft.com/office/officeart/2005/8/layout/StepDownProcess#1"/>
    <dgm:cxn modelId="{72CBE61C-490D-4FAC-A6DA-E6729D508630}" type="presParOf" srcId="{7390A60A-8E73-4373-8533-79DB76AC556B}" destId="{728B00E3-8245-463C-8370-3A956242FE4B}" srcOrd="6" destOrd="0" presId="urn:microsoft.com/office/officeart/2005/8/layout/StepDownProcess#1"/>
    <dgm:cxn modelId="{FE043C70-3B11-4102-A98D-8BB3993A863B}" type="presParOf" srcId="{728B00E3-8245-463C-8370-3A956242FE4B}" destId="{6DEA87FD-BF28-4149-A863-25558AD7F63A}" srcOrd="0" destOrd="0" presId="urn:microsoft.com/office/officeart/2005/8/layout/StepDownProcess#1"/>
    <dgm:cxn modelId="{71066C60-28B4-4918-B004-8E443627CEEC}" type="presParOf" srcId="{728B00E3-8245-463C-8370-3A956242FE4B}" destId="{1B8FC528-AAC7-45B7-B8C7-3137382CA505}" srcOrd="1" destOrd="0" presId="urn:microsoft.com/office/officeart/2005/8/layout/StepDownProcess#1"/>
    <dgm:cxn modelId="{DACCD32D-1CA0-4F8A-A27B-57E54813ED37}" type="presParOf" srcId="{728B00E3-8245-463C-8370-3A956242FE4B}" destId="{6F2C14E0-54CD-4D26-AAD5-8EA86D331450}" srcOrd="2" destOrd="0" presId="urn:microsoft.com/office/officeart/2005/8/layout/StepDownProcess#1"/>
    <dgm:cxn modelId="{3BDEEF94-550F-4D3E-85D5-8E48B8EA59F4}" type="presParOf" srcId="{7390A60A-8E73-4373-8533-79DB76AC556B}" destId="{B2D985E0-0542-4C6D-978F-5138EF0B5D39}" srcOrd="7" destOrd="0" presId="urn:microsoft.com/office/officeart/2005/8/layout/StepDownProcess#1"/>
    <dgm:cxn modelId="{191E8A79-1783-469D-B45B-C82CC58C0136}" type="presParOf" srcId="{7390A60A-8E73-4373-8533-79DB76AC556B}" destId="{5DA2E987-DC35-4437-AEA8-4DBEF7B252DC}" srcOrd="8" destOrd="0" presId="urn:microsoft.com/office/officeart/2005/8/layout/StepDownProcess#1"/>
    <dgm:cxn modelId="{05C31DD3-7E57-4A59-A3B9-7997B5B32EA7}" type="presParOf" srcId="{5DA2E987-DC35-4437-AEA8-4DBEF7B252DC}" destId="{6CD8DEB8-3841-4B97-8AAF-82BA6287922A}" srcOrd="0" destOrd="0" presId="urn:microsoft.com/office/officeart/2005/8/layout/StepDownProcess#1"/>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01F6C8-9035-4A0D-AD9E-88EA06E8CB27}">
      <dsp:nvSpPr>
        <dsp:cNvPr id="0" name=""/>
        <dsp:cNvSpPr/>
      </dsp:nvSpPr>
      <dsp:spPr>
        <a:xfrm rot="5400000">
          <a:off x="2974519" y="-1000430"/>
          <a:ext cx="1505179" cy="3507867"/>
        </a:xfrm>
        <a:prstGeom prst="round2Same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ctr" defTabSz="533400">
            <a:lnSpc>
              <a:spcPct val="150000"/>
            </a:lnSpc>
            <a:spcBef>
              <a:spcPct val="0"/>
            </a:spcBef>
            <a:spcAft>
              <a:spcPts val="0"/>
            </a:spcAft>
            <a:buChar char="•"/>
          </a:pPr>
          <a:r>
            <a:rPr lang="es-MX" sz="1200" kern="1200">
              <a:latin typeface="Arial" panose="020B0604020202020204" pitchFamily="2" charset="0"/>
              <a:cs typeface="Arial" panose="020B0604020202020204" pitchFamily="2" charset="0"/>
            </a:rPr>
            <a:t>El punto de vista, derivado de la experiencia, que los sujetos tienen respecto a “algo”. Se considera la influencia de su grupo primario: la familia</a:t>
          </a:r>
        </a:p>
        <a:p>
          <a:pPr marL="114300" lvl="1" indent="-114300" algn="ctr" defTabSz="533400">
            <a:lnSpc>
              <a:spcPct val="150000"/>
            </a:lnSpc>
            <a:spcBef>
              <a:spcPct val="0"/>
            </a:spcBef>
            <a:spcAft>
              <a:spcPts val="0"/>
            </a:spcAft>
            <a:buChar char="•"/>
          </a:pPr>
          <a:r>
            <a:rPr lang="es-MX" sz="1200" kern="1200">
              <a:latin typeface="Arial" panose="020B0604020202020204" pitchFamily="2" charset="0"/>
              <a:cs typeface="Arial" panose="020B0604020202020204" pitchFamily="2" charset="0"/>
            </a:rPr>
            <a:t>Comportamiento frente a una determinada acción</a:t>
          </a:r>
        </a:p>
      </dsp:txBody>
      <dsp:txXfrm rot="-5400000">
        <a:off x="1973176" y="74390"/>
        <a:ext cx="3434390" cy="1358225"/>
      </dsp:txXfrm>
    </dsp:sp>
    <dsp:sp modelId="{02647B31-FA5B-475F-85F9-4E4C4004CD42}">
      <dsp:nvSpPr>
        <dsp:cNvPr id="0" name=""/>
        <dsp:cNvSpPr/>
      </dsp:nvSpPr>
      <dsp:spPr>
        <a:xfrm>
          <a:off x="0" y="414355"/>
          <a:ext cx="1973175" cy="678294"/>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s-MX" sz="1200" kern="1200">
              <a:latin typeface="Arial" panose="020B0604020202020204" pitchFamily="2" charset="0"/>
              <a:cs typeface="Arial" panose="020B0604020202020204" pitchFamily="2" charset="0"/>
            </a:rPr>
            <a:t>Actitud</a:t>
          </a:r>
        </a:p>
      </dsp:txBody>
      <dsp:txXfrm>
        <a:off x="33112" y="447467"/>
        <a:ext cx="1906951" cy="612070"/>
      </dsp:txXfrm>
    </dsp:sp>
    <dsp:sp modelId="{95F46296-435A-4743-A878-0FF122DB250F}">
      <dsp:nvSpPr>
        <dsp:cNvPr id="0" name=""/>
        <dsp:cNvSpPr/>
      </dsp:nvSpPr>
      <dsp:spPr>
        <a:xfrm rot="5400000">
          <a:off x="2630346" y="882835"/>
          <a:ext cx="2193523" cy="3507867"/>
        </a:xfrm>
        <a:prstGeom prst="round2Same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150000"/>
            </a:lnSpc>
            <a:spcBef>
              <a:spcPct val="0"/>
            </a:spcBef>
            <a:spcAft>
              <a:spcPts val="0"/>
            </a:spcAft>
            <a:buChar char="•"/>
          </a:pPr>
          <a:r>
            <a:rPr lang="es-MX" sz="1200" kern="1200">
              <a:latin typeface="Arial" panose="020B0604020202020204" pitchFamily="2" charset="0"/>
              <a:cs typeface="Arial" panose="020B0604020202020204" pitchFamily="2" charset="0"/>
            </a:rPr>
            <a:t>Implica la percepción de los individuos sobre la relación entre la opinión de la sociedad y de llevar a cabo las acciones</a:t>
          </a:r>
        </a:p>
        <a:p>
          <a:pPr marL="114300" lvl="1" indent="-114300" algn="l" defTabSz="533400">
            <a:lnSpc>
              <a:spcPct val="150000"/>
            </a:lnSpc>
            <a:spcBef>
              <a:spcPct val="0"/>
            </a:spcBef>
            <a:spcAft>
              <a:spcPts val="0"/>
            </a:spcAft>
            <a:buChar char="•"/>
          </a:pPr>
          <a:r>
            <a:rPr lang="es-MX" sz="1200" kern="1200">
              <a:latin typeface="Arial" panose="020B0604020202020204" pitchFamily="2" charset="0"/>
              <a:cs typeface="Arial" panose="020B0604020202020204" pitchFamily="2" charset="0"/>
            </a:rPr>
            <a:t>Aprobación o desaprobación del comportamiento por las personas que forman el entorno del sujeto</a:t>
          </a:r>
        </a:p>
      </dsp:txBody>
      <dsp:txXfrm rot="-5400000">
        <a:off x="1973175" y="1647086"/>
        <a:ext cx="3400788" cy="1979365"/>
      </dsp:txXfrm>
    </dsp:sp>
    <dsp:sp modelId="{85270EE1-A612-4611-BC28-D12331F89AB5}">
      <dsp:nvSpPr>
        <dsp:cNvPr id="0" name=""/>
        <dsp:cNvSpPr/>
      </dsp:nvSpPr>
      <dsp:spPr>
        <a:xfrm>
          <a:off x="0" y="2297621"/>
          <a:ext cx="1973175" cy="678294"/>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s-MX" sz="1200" kern="1200">
              <a:latin typeface="Arial" panose="020B0604020202020204" pitchFamily="2" charset="0"/>
              <a:cs typeface="Arial" panose="020B0604020202020204" pitchFamily="2" charset="0"/>
            </a:rPr>
            <a:t>Norma subjetiva</a:t>
          </a:r>
        </a:p>
      </dsp:txBody>
      <dsp:txXfrm>
        <a:off x="33112" y="2330733"/>
        <a:ext cx="1906951" cy="612070"/>
      </dsp:txXfrm>
    </dsp:sp>
    <dsp:sp modelId="{A93B53CC-EA9C-4008-9304-1C4DFB359AC7}">
      <dsp:nvSpPr>
        <dsp:cNvPr id="0" name=""/>
        <dsp:cNvSpPr/>
      </dsp:nvSpPr>
      <dsp:spPr>
        <a:xfrm rot="5400000">
          <a:off x="3202919" y="2537700"/>
          <a:ext cx="1048377" cy="3507867"/>
        </a:xfrm>
        <a:prstGeom prst="round2Same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150000"/>
            </a:lnSpc>
            <a:spcBef>
              <a:spcPct val="0"/>
            </a:spcBef>
            <a:spcAft>
              <a:spcPts val="0"/>
            </a:spcAft>
            <a:buChar char="•"/>
          </a:pPr>
          <a:r>
            <a:rPr lang="es-MX" sz="1200" kern="1200">
              <a:latin typeface="Arial" panose="020B0604020202020204" pitchFamily="2" charset="0"/>
              <a:cs typeface="Arial" panose="020B0604020202020204" pitchFamily="2" charset="0"/>
            </a:rPr>
            <a:t>Este aspecto define si los sujetos son capaces de adoptar prácticas para ejercer la acción</a:t>
          </a:r>
        </a:p>
      </dsp:txBody>
      <dsp:txXfrm rot="-5400000">
        <a:off x="1973174" y="3818623"/>
        <a:ext cx="3456689" cy="946021"/>
      </dsp:txXfrm>
    </dsp:sp>
    <dsp:sp modelId="{8DDA5B10-1672-479B-A72B-7FC375CC31C7}">
      <dsp:nvSpPr>
        <dsp:cNvPr id="0" name=""/>
        <dsp:cNvSpPr/>
      </dsp:nvSpPr>
      <dsp:spPr>
        <a:xfrm>
          <a:off x="0" y="3952486"/>
          <a:ext cx="1973175" cy="678294"/>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s-MX" sz="1200" kern="1200">
              <a:latin typeface="Arial" panose="020B0604020202020204" pitchFamily="2" charset="0"/>
              <a:cs typeface="Arial" panose="020B0604020202020204" pitchFamily="2" charset="0"/>
            </a:rPr>
            <a:t>Comportamiento percibido de control</a:t>
          </a:r>
        </a:p>
      </dsp:txBody>
      <dsp:txXfrm>
        <a:off x="33112" y="3985598"/>
        <a:ext cx="1906951" cy="612070"/>
      </dsp:txXfrm>
    </dsp:sp>
    <dsp:sp modelId="{EBF291BB-F1CF-467E-8969-24862A400257}">
      <dsp:nvSpPr>
        <dsp:cNvPr id="0" name=""/>
        <dsp:cNvSpPr/>
      </dsp:nvSpPr>
      <dsp:spPr>
        <a:xfrm rot="5400000">
          <a:off x="3459434" y="3433236"/>
          <a:ext cx="542635" cy="3511296"/>
        </a:xfrm>
        <a:prstGeom prst="round2Same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150000"/>
            </a:lnSpc>
            <a:spcBef>
              <a:spcPct val="0"/>
            </a:spcBef>
            <a:spcAft>
              <a:spcPts val="0"/>
            </a:spcAft>
            <a:buChar char="•"/>
          </a:pPr>
          <a:r>
            <a:rPr lang="es-MX" sz="1200" kern="1200">
              <a:latin typeface="Arial" panose="020B0604020202020204" pitchFamily="2" charset="0"/>
              <a:cs typeface="Arial" panose="020B0604020202020204" pitchFamily="2" charset="0"/>
            </a:rPr>
            <a:t>Indica la volutad de cada individuo para llevar a cabo cierto comportamiento </a:t>
          </a:r>
        </a:p>
      </dsp:txBody>
      <dsp:txXfrm rot="-5400000">
        <a:off x="1975104" y="4944056"/>
        <a:ext cx="3484807" cy="489657"/>
      </dsp:txXfrm>
    </dsp:sp>
    <dsp:sp modelId="{2B3A2A25-B8C5-4D94-AF42-ABDF71D9542C}">
      <dsp:nvSpPr>
        <dsp:cNvPr id="0" name=""/>
        <dsp:cNvSpPr/>
      </dsp:nvSpPr>
      <dsp:spPr>
        <a:xfrm>
          <a:off x="0" y="4849737"/>
          <a:ext cx="1975104" cy="678294"/>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150000"/>
            </a:lnSpc>
            <a:spcBef>
              <a:spcPct val="0"/>
            </a:spcBef>
            <a:spcAft>
              <a:spcPts val="0"/>
            </a:spcAft>
            <a:buNone/>
          </a:pPr>
          <a:r>
            <a:rPr lang="es-MX" sz="1200" kern="1200">
              <a:latin typeface="Arial" panose="020B0604020202020204" pitchFamily="2" charset="0"/>
              <a:cs typeface="Arial" panose="020B0604020202020204" pitchFamily="2" charset="0"/>
            </a:rPr>
            <a:t>Intención</a:t>
          </a:r>
        </a:p>
      </dsp:txBody>
      <dsp:txXfrm>
        <a:off x="33112" y="4882849"/>
        <a:ext cx="1908880" cy="61207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E50E23-8DD4-4115-A6FF-2A12AB1D74E0}">
      <dsp:nvSpPr>
        <dsp:cNvPr id="0" name=""/>
        <dsp:cNvSpPr/>
      </dsp:nvSpPr>
      <dsp:spPr>
        <a:xfrm rot="5400000">
          <a:off x="802525" y="561093"/>
          <a:ext cx="488311" cy="555924"/>
        </a:xfrm>
        <a:prstGeom prst="bentUpArrow">
          <a:avLst>
            <a:gd name="adj1" fmla="val 32840"/>
            <a:gd name="adj2" fmla="val 25000"/>
            <a:gd name="adj3" fmla="val 35780"/>
          </a:avLst>
        </a:prstGeom>
        <a:solidFill>
          <a:schemeClr val="dk1">
            <a:tint val="40000"/>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A55DD1D-B5E1-4A7F-88E8-1C8FB813F4C4}">
      <dsp:nvSpPr>
        <dsp:cNvPr id="0" name=""/>
        <dsp:cNvSpPr/>
      </dsp:nvSpPr>
      <dsp:spPr>
        <a:xfrm>
          <a:off x="512992" y="19790"/>
          <a:ext cx="1142348" cy="575393"/>
        </a:xfrm>
        <a:prstGeom prst="roundRect">
          <a:avLst>
            <a:gd name="adj" fmla="val 1667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MX" sz="1200" kern="1200">
              <a:latin typeface="Arial" panose="020B0604020202020204" pitchFamily="2" charset="0"/>
              <a:cs typeface="Arial" panose="020B0604020202020204" pitchFamily="2" charset="0"/>
            </a:rPr>
            <a:t>Específicar el modelo</a:t>
          </a:r>
        </a:p>
      </dsp:txBody>
      <dsp:txXfrm>
        <a:off x="541085" y="47883"/>
        <a:ext cx="1086162" cy="519207"/>
      </dsp:txXfrm>
    </dsp:sp>
    <dsp:sp modelId="{ECA5A5C3-171C-4B2F-B21B-73B6B863A7A8}">
      <dsp:nvSpPr>
        <dsp:cNvPr id="0" name=""/>
        <dsp:cNvSpPr/>
      </dsp:nvSpPr>
      <dsp:spPr>
        <a:xfrm>
          <a:off x="1495180" y="74667"/>
          <a:ext cx="597865" cy="465058"/>
        </a:xfrm>
        <a:prstGeom prst="rect">
          <a:avLst/>
        </a:prstGeom>
        <a:noFill/>
        <a:ln>
          <a:noFill/>
        </a:ln>
        <a:effectLst/>
      </dsp:spPr>
      <dsp:style>
        <a:lnRef idx="0">
          <a:scrgbClr r="0" g="0" b="0"/>
        </a:lnRef>
        <a:fillRef idx="0">
          <a:scrgbClr r="0" g="0" b="0"/>
        </a:fillRef>
        <a:effectRef idx="0">
          <a:scrgbClr r="0" g="0" b="0"/>
        </a:effectRef>
        <a:fontRef idx="minor"/>
      </dsp:style>
    </dsp:sp>
    <dsp:sp modelId="{D8E155A3-D494-4BA0-993E-89BDA16F925B}">
      <dsp:nvSpPr>
        <dsp:cNvPr id="0" name=""/>
        <dsp:cNvSpPr/>
      </dsp:nvSpPr>
      <dsp:spPr>
        <a:xfrm rot="5400000">
          <a:off x="1560950" y="1207449"/>
          <a:ext cx="488311" cy="555924"/>
        </a:xfrm>
        <a:prstGeom prst="bentUpArrow">
          <a:avLst>
            <a:gd name="adj1" fmla="val 32840"/>
            <a:gd name="adj2" fmla="val 25000"/>
            <a:gd name="adj3" fmla="val 35780"/>
          </a:avLst>
        </a:prstGeom>
        <a:solidFill>
          <a:schemeClr val="dk1">
            <a:tint val="40000"/>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2502E06-375A-4295-A928-BDB35B574EC0}">
      <dsp:nvSpPr>
        <dsp:cNvPr id="0" name=""/>
        <dsp:cNvSpPr/>
      </dsp:nvSpPr>
      <dsp:spPr>
        <a:xfrm>
          <a:off x="1271418" y="666147"/>
          <a:ext cx="1142348" cy="575393"/>
        </a:xfrm>
        <a:prstGeom prst="roundRect">
          <a:avLst>
            <a:gd name="adj" fmla="val 1667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MX" sz="1200" kern="1200">
              <a:latin typeface="Arial" panose="020B0604020202020204" pitchFamily="2" charset="0"/>
              <a:cs typeface="Arial" panose="020B0604020202020204" pitchFamily="2" charset="0"/>
            </a:rPr>
            <a:t>Identificar el modelo</a:t>
          </a:r>
        </a:p>
      </dsp:txBody>
      <dsp:txXfrm>
        <a:off x="1299511" y="694240"/>
        <a:ext cx="1086162" cy="519207"/>
      </dsp:txXfrm>
    </dsp:sp>
    <dsp:sp modelId="{AF6463E8-EC28-4249-94D6-99A51337E270}">
      <dsp:nvSpPr>
        <dsp:cNvPr id="0" name=""/>
        <dsp:cNvSpPr/>
      </dsp:nvSpPr>
      <dsp:spPr>
        <a:xfrm>
          <a:off x="2458763" y="740072"/>
          <a:ext cx="2475185" cy="46505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114300" lvl="1" indent="-114300" algn="l" defTabSz="533400">
            <a:lnSpc>
              <a:spcPct val="90000"/>
            </a:lnSpc>
            <a:spcBef>
              <a:spcPct val="0"/>
            </a:spcBef>
            <a:spcAft>
              <a:spcPct val="15000"/>
            </a:spcAft>
            <a:buChar char="•"/>
          </a:pPr>
          <a:r>
            <a:rPr lang="es-MX" sz="1200" kern="1200">
              <a:latin typeface="Arial" panose="020B0604020202020204" pitchFamily="2" charset="0"/>
              <a:cs typeface="Arial" panose="020B0604020202020204" pitchFamily="2" charset="0"/>
            </a:rPr>
            <a:t>Alfa de Cronbach</a:t>
          </a:r>
        </a:p>
        <a:p>
          <a:pPr marL="114300" lvl="1" indent="-114300" algn="l" defTabSz="533400">
            <a:lnSpc>
              <a:spcPct val="90000"/>
            </a:lnSpc>
            <a:spcBef>
              <a:spcPct val="0"/>
            </a:spcBef>
            <a:spcAft>
              <a:spcPct val="15000"/>
            </a:spcAft>
            <a:buChar char="•"/>
          </a:pPr>
          <a:r>
            <a:rPr lang="es-MX" sz="1200" kern="1200">
              <a:latin typeface="Arial" panose="020B0604020202020204" pitchFamily="2" charset="0"/>
              <a:cs typeface="Arial" panose="020B0604020202020204" pitchFamily="2" charset="0"/>
            </a:rPr>
            <a:t>Coef. KMO</a:t>
          </a:r>
        </a:p>
        <a:p>
          <a:pPr marL="114300" lvl="1" indent="-114300" algn="l" defTabSz="533400">
            <a:lnSpc>
              <a:spcPct val="90000"/>
            </a:lnSpc>
            <a:spcBef>
              <a:spcPct val="0"/>
            </a:spcBef>
            <a:spcAft>
              <a:spcPct val="15000"/>
            </a:spcAft>
            <a:buChar char="•"/>
          </a:pPr>
          <a:r>
            <a:rPr lang="es-MX" sz="1200" kern="1200">
              <a:latin typeface="Arial" panose="020B0604020202020204" pitchFamily="2" charset="0"/>
              <a:cs typeface="Arial" panose="020B0604020202020204" pitchFamily="2" charset="0"/>
            </a:rPr>
            <a:t> test de esfericidad de Bartlett </a:t>
          </a:r>
        </a:p>
      </dsp:txBody>
      <dsp:txXfrm>
        <a:off x="2458763" y="740072"/>
        <a:ext cx="2475185" cy="465058"/>
      </dsp:txXfrm>
    </dsp:sp>
    <dsp:sp modelId="{A1D4BE32-F2B4-41A6-83B5-7D1E7BBB2EFD}">
      <dsp:nvSpPr>
        <dsp:cNvPr id="0" name=""/>
        <dsp:cNvSpPr/>
      </dsp:nvSpPr>
      <dsp:spPr>
        <a:xfrm rot="5400000">
          <a:off x="2319376" y="1853805"/>
          <a:ext cx="488311" cy="555924"/>
        </a:xfrm>
        <a:prstGeom prst="bentUpArrow">
          <a:avLst>
            <a:gd name="adj1" fmla="val 32840"/>
            <a:gd name="adj2" fmla="val 25000"/>
            <a:gd name="adj3" fmla="val 35780"/>
          </a:avLst>
        </a:prstGeom>
        <a:solidFill>
          <a:schemeClr val="dk1">
            <a:tint val="40000"/>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FE8B824-1043-41FF-9DB4-C8343A239D4D}">
      <dsp:nvSpPr>
        <dsp:cNvPr id="0" name=""/>
        <dsp:cNvSpPr/>
      </dsp:nvSpPr>
      <dsp:spPr>
        <a:xfrm>
          <a:off x="2029843" y="1312503"/>
          <a:ext cx="1142348" cy="575393"/>
        </a:xfrm>
        <a:prstGeom prst="roundRect">
          <a:avLst>
            <a:gd name="adj" fmla="val 1667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MX" sz="1200" kern="1200">
              <a:latin typeface="Arial" panose="020B0604020202020204" pitchFamily="2" charset="0"/>
              <a:cs typeface="Arial" panose="020B0604020202020204" pitchFamily="2" charset="0"/>
            </a:rPr>
            <a:t>Estimar los parámetros</a:t>
          </a:r>
        </a:p>
      </dsp:txBody>
      <dsp:txXfrm>
        <a:off x="2057936" y="1340596"/>
        <a:ext cx="1086162" cy="519207"/>
      </dsp:txXfrm>
    </dsp:sp>
    <dsp:sp modelId="{F4E720DF-5895-4FA7-8D05-6514A7C8516C}">
      <dsp:nvSpPr>
        <dsp:cNvPr id="0" name=""/>
        <dsp:cNvSpPr/>
      </dsp:nvSpPr>
      <dsp:spPr>
        <a:xfrm>
          <a:off x="3012032" y="1367380"/>
          <a:ext cx="597865" cy="465058"/>
        </a:xfrm>
        <a:prstGeom prst="rect">
          <a:avLst/>
        </a:prstGeom>
        <a:noFill/>
        <a:ln>
          <a:noFill/>
        </a:ln>
        <a:effectLst/>
      </dsp:spPr>
      <dsp:style>
        <a:lnRef idx="0">
          <a:scrgbClr r="0" g="0" b="0"/>
        </a:lnRef>
        <a:fillRef idx="0">
          <a:scrgbClr r="0" g="0" b="0"/>
        </a:fillRef>
        <a:effectRef idx="0">
          <a:scrgbClr r="0" g="0" b="0"/>
        </a:effectRef>
        <a:fontRef idx="minor"/>
      </dsp:style>
    </dsp:sp>
    <dsp:sp modelId="{6DEA87FD-BF28-4149-A863-25558AD7F63A}">
      <dsp:nvSpPr>
        <dsp:cNvPr id="0" name=""/>
        <dsp:cNvSpPr/>
      </dsp:nvSpPr>
      <dsp:spPr>
        <a:xfrm rot="5400000">
          <a:off x="3077802" y="2500162"/>
          <a:ext cx="488311" cy="555924"/>
        </a:xfrm>
        <a:prstGeom prst="bentUpArrow">
          <a:avLst>
            <a:gd name="adj1" fmla="val 32840"/>
            <a:gd name="adj2" fmla="val 25000"/>
            <a:gd name="adj3" fmla="val 35780"/>
          </a:avLst>
        </a:prstGeom>
        <a:solidFill>
          <a:schemeClr val="dk1">
            <a:tint val="40000"/>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B8FC528-AAC7-45B7-B8C7-3137382CA505}">
      <dsp:nvSpPr>
        <dsp:cNvPr id="0" name=""/>
        <dsp:cNvSpPr/>
      </dsp:nvSpPr>
      <dsp:spPr>
        <a:xfrm>
          <a:off x="2788269" y="1958859"/>
          <a:ext cx="1142348" cy="575393"/>
        </a:xfrm>
        <a:prstGeom prst="roundRect">
          <a:avLst>
            <a:gd name="adj" fmla="val 1667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MX" sz="1200" kern="1200">
              <a:latin typeface="Arial" panose="020B0604020202020204" pitchFamily="2" charset="0"/>
              <a:cs typeface="Arial" panose="020B0604020202020204" pitchFamily="2" charset="0"/>
            </a:rPr>
            <a:t>Evaluar el ajuste del modelo</a:t>
          </a:r>
        </a:p>
      </dsp:txBody>
      <dsp:txXfrm>
        <a:off x="2816362" y="1986952"/>
        <a:ext cx="1086162" cy="519207"/>
      </dsp:txXfrm>
    </dsp:sp>
    <dsp:sp modelId="{6F2C14E0-54CD-4D26-AAD5-8EA86D331450}">
      <dsp:nvSpPr>
        <dsp:cNvPr id="0" name=""/>
        <dsp:cNvSpPr/>
      </dsp:nvSpPr>
      <dsp:spPr>
        <a:xfrm>
          <a:off x="3770457" y="2013736"/>
          <a:ext cx="597865" cy="465058"/>
        </a:xfrm>
        <a:prstGeom prst="rect">
          <a:avLst/>
        </a:prstGeom>
        <a:noFill/>
        <a:ln>
          <a:noFill/>
        </a:ln>
        <a:effectLst/>
      </dsp:spPr>
      <dsp:style>
        <a:lnRef idx="0">
          <a:scrgbClr r="0" g="0" b="0"/>
        </a:lnRef>
        <a:fillRef idx="0">
          <a:scrgbClr r="0" g="0" b="0"/>
        </a:fillRef>
        <a:effectRef idx="0">
          <a:scrgbClr r="0" g="0" b="0"/>
        </a:effectRef>
        <a:fontRef idx="minor"/>
      </dsp:style>
    </dsp:sp>
    <dsp:sp modelId="{6CD8DEB8-3841-4B97-8AAF-82BA6287922A}">
      <dsp:nvSpPr>
        <dsp:cNvPr id="0" name=""/>
        <dsp:cNvSpPr/>
      </dsp:nvSpPr>
      <dsp:spPr>
        <a:xfrm>
          <a:off x="3546694" y="2605216"/>
          <a:ext cx="1426712" cy="575393"/>
        </a:xfrm>
        <a:prstGeom prst="roundRect">
          <a:avLst>
            <a:gd name="adj" fmla="val 1667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MX" sz="1200" kern="1200">
              <a:latin typeface="Arial" panose="020B0604020202020204" pitchFamily="2" charset="0"/>
              <a:cs typeface="Arial" panose="020B0604020202020204" pitchFamily="2" charset="0"/>
            </a:rPr>
            <a:t>Reespecificar en caso necesario</a:t>
          </a:r>
        </a:p>
      </dsp:txBody>
      <dsp:txXfrm>
        <a:off x="3574787" y="2633309"/>
        <a:ext cx="1370526" cy="519207"/>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StepDownProcess#1">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bkpt" val="fixed"/>
          <dgm:param type="bkPtFixedVal" val="1"/>
          <dgm:param type="off" val="off"/>
          <dgm:param type="grDir" val="tL"/>
          <dgm:param type="flowDir" val="row"/>
        </dgm:alg>
      </dgm:if>
      <dgm:else name="Name2">
        <dgm:alg type="snake">
          <dgm:param type="bkpt" val="fixed"/>
          <dgm:param type="bkPtFixedVal" val="1"/>
          <dgm:param type="off" val="off"/>
          <dgm:param type="grDir" val="tR"/>
          <dgm:param type="flowDir" val="row"/>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parTxLTRAlign" val="l"/>
                    <dgm:param type="stBulletLvl" val="1"/>
                    <dgm:param type="txAnchorVertCh" val="mid"/>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parTxLTRAlign" val="l"/>
                <dgm:param type="stBulletLvl" val="1"/>
                <dgm:param type="txAnchorVertCh" val="mid"/>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Par90</b:Tag>
    <b:SourceType>JournalArticle</b:SourceType>
    <b:Guid>{FB983895-CF9B-4FB5-956E-61BA25B7A78D}</b:Guid>
    <b:Title>De Baumgarten a Kant: sobre la belleza</b:Title>
    <b:Year>1990</b:Year>
    <b:Author>
      <b:Author>
        <b:NameList>
          <b:Person>
            <b:Last>Parret</b:Last>
            <b:First>H</b:First>
          </b:Person>
        </b:NameList>
      </b:Author>
    </b:Author>
    <b:Pages>209-224</b:Pages>
    <b:JournalName>Universidad de Lima</b:JournalName>
    <b:RefOrder>1</b:RefOrder>
  </b:Source>
  <b:Source>
    <b:Tag>Aba91</b:Tag>
    <b:SourceType>Book</b:SourceType>
    <b:Guid>{E66E02A8-81DC-46BC-97E5-B92D6AC1833A}</b:Guid>
    <b:Author>
      <b:Author>
        <b:NameList>
          <b:Person>
            <b:Last>Abarca Fernández</b:Last>
            <b:First>R,R</b:First>
          </b:Person>
        </b:NameList>
      </b:Author>
    </b:Author>
    <b:Title>El proceso del conocimiento: gnoseología o epistemología.</b:Title>
    <b:Year>1991</b:Year>
    <b:City>Arequipa</b:City>
    <b:Publisher>El Alva</b:Publisher>
    <b:RefOrder>2</b:RefOrder>
  </b:Source>
  <b:Source>
    <b:Tag>Gai98</b:Tag>
    <b:SourceType>JournalArticle</b:SourceType>
    <b:Guid>{EFE3C5C5-7243-45C7-AFE0-78EA56FE5794}</b:Guid>
    <b:Title>Semiótica y semántica: la comprensión del discurso</b:Title>
    <b:Year>1998</b:Year>
    <b:Pages>3-14</b:Pages>
    <b:Author>
      <b:Author>
        <b:NameList>
          <b:Person>
            <b:Last>Gainza</b:Last>
            <b:First>G.</b:First>
          </b:Person>
        </b:NameList>
      </b:Author>
    </b:Author>
    <b:JournalName>Reflexiones</b:JournalName>
    <b:Volume>72</b:Volume>
    <b:Issue>1</b:Issue>
    <b:RefOrder>3</b:RefOrder>
  </b:Source>
  <b:Source>
    <b:Tag>Gou03</b:Tag>
    <b:SourceType>JournalArticle</b:SourceType>
    <b:Guid>{23E39CB0-A378-4113-829E-7DF98159B165}</b:Guid>
    <b:Author>
      <b:Author>
        <b:NameList>
          <b:Person>
            <b:Last>Goutman Bender</b:Last>
            <b:First>A.</b:First>
          </b:Person>
        </b:NameList>
      </b:Author>
    </b:Author>
    <b:Title>Sema, semántica, semiótica, semiología, cultura.</b:Title>
    <b:JournalName>RMCS</b:JournalName>
    <b:Year>2003</b:Year>
    <b:Pages>35-47</b:Pages>
    <b:Volume>XLVI</b:Volume>
    <b:Issue>187</b:Issue>
    <b:RefOrder>4</b:RefOrder>
  </b:Source>
  <b:Source>
    <b:Tag>Mor71</b:Tag>
    <b:SourceType>Book</b:SourceType>
    <b:Guid>{ADF9B20E-CEEE-49D3-B74F-E25226D5E3DB}</b:Guid>
    <b:Title>Fundamentos de la teoría de los signos</b:Title>
    <b:Year>1971</b:Year>
    <b:Author>
      <b:Author>
        <b:NameList>
          <b:Person>
            <b:Last>Morris</b:Last>
            <b:First>C.</b:First>
          </b:Person>
        </b:NameList>
      </b:Author>
    </b:Author>
    <b:City>Buenos Aires</b:City>
    <b:Publisher>Paidós</b:Publisher>
    <b:RefOrder>5</b:RefOrder>
  </b:Source>
  <b:Source>
    <b:Tag>Ver16</b:Tag>
    <b:SourceType>Book</b:SourceType>
    <b:Guid>{ABB2A448-D73D-4D2A-A57B-B6BFECC20C1E}</b:Guid>
    <b:Author>
      <b:Author>
        <b:NameList>
          <b:Person>
            <b:Last>Versace</b:Last>
            <b:First>S.</b:First>
          </b:Person>
        </b:NameList>
      </b:Author>
    </b:Author>
    <b:Title>Chomsky. Lenguaje, conocimiento y libertad</b:Title>
    <b:Year>2016</b:Year>
    <b:City>España</b:City>
    <b:Publisher>El Mundo</b:Publisher>
    <b:RefOrder>6</b:RefOrder>
  </b:Source>
  <b:Source>
    <b:Tag>Pér101</b:Tag>
    <b:SourceType>JournalArticle</b:SourceType>
    <b:Guid>{2CF52B82-CC19-4977-928B-646C0D29FAD9}</b:Guid>
    <b:Title>La experiencia de la autoconciencia en Hegel</b:Title>
    <b:Year>2010</b:Year>
    <b:Author>
      <b:Author>
        <b:NameList>
          <b:Person>
            <b:Last>Pérez Castro</b:Last>
            <b:First>D.</b:First>
          </b:Person>
        </b:NameList>
      </b:Author>
    </b:Author>
    <b:JournalName>Contrastes: Revista Internacional de Filosofía</b:JournalName>
    <b:Pages>319-325</b:Pages>
    <b:RefOrder>7</b:RefOrder>
  </b:Source>
  <b:Source>
    <b:Tag>Hün11</b:Tag>
    <b:SourceType>JournalArticle</b:SourceType>
    <b:Guid>{6C2F74AE-CD00-467C-B49E-94949DD0FF6C}</b:Guid>
    <b:Author>
      <b:Author>
        <b:NameList>
          <b:Person>
            <b:Last>Hüni</b:Last>
            <b:First>H.</b:First>
          </b:Person>
        </b:NameList>
      </b:Author>
    </b:Author>
    <b:Title>La conciencia es deseo (Hegel)</b:Title>
    <b:JournalName>Revista Praxis Filosófica</b:JournalName>
    <b:Year>2011</b:Year>
    <b:Pages>87-95</b:Pages>
    <b:InternetSiteTitle>Biblioteca Digital Univesida del Valle</b:InternetSiteTitle>
    <b:RefOrder>8</b:RefOrder>
  </b:Source>
  <b:Source>
    <b:Tag>Tor16</b:Tag>
    <b:SourceType>Book</b:SourceType>
    <b:Guid>{D593A820-D1C0-467F-BDA5-1819B140A16D}</b:Guid>
    <b:Title>El concepto de la intencionalidad en la fenomenología como psicología descriptiva</b:Title>
    <b:Year>2016</b:Year>
    <b:Author>
      <b:Author>
        <b:NameList>
          <b:Person>
            <b:Last>Torrez</b:Last>
            <b:First>S.</b:First>
            <b:Middle>A.</b:Middle>
          </b:Person>
        </b:NameList>
      </b:Author>
    </b:Author>
    <b:City>Buenos Aires </b:City>
    <b:Publisher>Teseopress</b:Publisher>
    <b:RefOrder>9</b:RefOrder>
  </b:Source>
  <b:Source>
    <b:Tag>Bel05l</b:Tag>
    <b:SourceType>Book</b:SourceType>
    <b:Guid>{0FC00998-17C3-4787-888B-F949119BF5FD}</b:Guid>
    <b:Title>Apuntes de Lógica</b:Title>
    <b:Year>2005</b:Year>
    <b:City>Guadalajara</b:City>
    <b:Publisher>Folia Universitaria</b:Publisher>
    <b:Author>
      <b:Author>
        <b:NameList>
          <b:Person>
            <b:Last>Benlloch Ibarra</b:Last>
            <b:First>E</b:First>
          </b:Person>
          <b:Person>
            <b:Last>Tejedor Campomanes</b:Last>
            <b:First>C</b:First>
          </b:Person>
        </b:NameList>
      </b:Author>
    </b:Author>
    <b:RefOrder>10</b:RefOrder>
  </b:Source>
  <b:Source>
    <b:Tag>Art93</b:Tag>
    <b:SourceType>Book</b:SourceType>
    <b:Guid>{2AADAE66-6BA5-4496-95F6-BB88BEDD8FA6}</b:Guid>
    <b:Author>
      <b:Author>
        <b:NameList>
          <b:Person>
            <b:Last>Artigas</b:Last>
            <b:First>M.</b:First>
          </b:Person>
          <b:Person>
            <b:Last>Sanguineti</b:Last>
            <b:First>J.J.</b:First>
          </b:Person>
        </b:NameList>
      </b:Author>
    </b:Author>
    <b:Title>Filosofía de la Naturaleza</b:Title>
    <b:Year>1993</b:Year>
    <b:City>Pamplona</b:City>
    <b:Publisher>EUNSA</b:Publisher>
    <b:CountryRegion>España</b:CountryRegion>
    <b:Pages>37-121</b:Pages>
    <b:RefOrder>11</b:RefOrder>
  </b:Source>
  <b:Source>
    <b:Tag>Gar05</b:Tag>
    <b:SourceType>Book</b:SourceType>
    <b:Guid>{13851BAD-FDB6-4343-A363-78F6CABABFFD}</b:Guid>
    <b:Author>
      <b:Author>
        <b:NameList>
          <b:Person>
            <b:Last>García Cuadrado</b:Last>
            <b:First>J.A.</b:First>
          </b:Person>
        </b:NameList>
      </b:Author>
    </b:Author>
    <b:Title>Filosofía de la Naturaleza</b:Title>
    <b:Year>2005</b:Year>
    <b:City>Navarra</b:City>
    <b:Publisher>EUNSA</b:Publisher>
    <b:RefOrder>12</b:RefOrder>
  </b:Source>
  <b:Source>
    <b:Tag>Vél</b:Tag>
    <b:SourceType>InternetSite</b:SourceType>
    <b:Guid>{BAFBB3DA-C317-43BC-A918-ECF1BEE627F1}</b:Guid>
    <b:Title>De bits y de Bytes</b:Title>
    <b:Author>
      <b:Author>
        <b:NameList>
          <b:Person>
            <b:Last>Vélez Martínez</b:Last>
            <b:First>C.</b:First>
          </b:Person>
        </b:NameList>
      </b:Author>
    </b:Author>
    <b:InternetSiteTitle>Instituto de Ingeniería UNAM</b:InternetSiteTitle>
    <b:URL>https://www.iingen.unam.mx/es-mx/AlmacenDigital/CapsulasTI/Paginas/debitsydebytes.aspx</b:URL>
    <b:RefOrder>13</b:RefOrder>
  </b:Source>
  <b:Source>
    <b:Tag>Kra</b:Tag>
    <b:SourceType>Book</b:SourceType>
    <b:Guid>{6FF17256-1D64-44FB-A507-AD7913C51D91}</b:Guid>
    <b:Author>
      <b:Author>
        <b:NameList>
          <b:Person>
            <b:Last>Kramsky Steinpreis</b:Last>
            <b:First>Carlos</b:First>
          </b:Person>
        </b:NameList>
      </b:Author>
    </b:Author>
    <b:Title>Antropología Filosófica</b:Title>
    <b:City>Guadalajara</b:City>
    <b:Publisher>CEIDSA</b:Publisher>
    <b:Year>1997</b:Year>
    <b:RefOrder>14</b:RefOrder>
  </b:Source>
  <b:Source>
    <b:Tag>Ame07</b:Tag>
    <b:SourceType>Book</b:SourceType>
    <b:Guid>{D68BEDFF-5928-46C6-B5E0-DAAB118AC374}</b:Guid>
    <b:Title>Antropología Filosófica</b:Title>
    <b:Year>2007</b:Year>
    <b:Author>
      <b:Author>
        <b:NameList>
          <b:Person>
            <b:Last>Amengual</b:Last>
            <b:First>G.</b:First>
          </b:Person>
        </b:NameList>
      </b:Author>
    </b:Author>
    <b:City>Madrid</b:City>
    <b:Publisher>BAC</b:Publisher>
    <b:RefOrder>15</b:RefOrder>
  </b:Source>
  <b:Source>
    <b:Tag>Bur18</b:Tag>
    <b:SourceType>DocumentFromInternetSite</b:SourceType>
    <b:Guid>{8C6F59A5-0C0A-48A0-B5DC-02FF5058E13C}</b:Guid>
    <b:Title>Greek and Roman Materials, Plato - Sophist</b:Title>
    <b:Author>
      <b:Author>
        <b:NameList>
          <b:Person>
            <b:Last>Burnet</b:Last>
            <b:First>John</b:First>
          </b:Person>
        </b:NameList>
      </b:Author>
    </b:Author>
    <b:InternetSiteTitle>Perseus Digital Library</b:InternetSiteTitle>
    <b:YearAccessed>2018</b:YearAccessed>
    <b:MonthAccessed>Diciembre</b:MonthAccessed>
    <b:DayAccessed>29</b:DayAccessed>
    <b:URL>http://www.perseus.tufts.edu/hopper/text?doc=Perseus%3Atext%3A1999.01.0171%3Atext%3DSoph.%3Asection%3D264a</b:URL>
    <b:RefOrder>16</b:RefOrder>
  </b:Source>
  <b:Source>
    <b:Tag>Láz97</b:Tag>
    <b:SourceType>Book</b:SourceType>
    <b:Guid>{BEB8E5FE-08CA-446B-A504-CB08B0281EF5}</b:Guid>
    <b:Title>El pensar lógico</b:Title>
    <b:Year>1997</b:Year>
    <b:Author>
      <b:Author>
        <b:NameList>
          <b:Person>
            <b:Last>Lázaro</b:Last>
            <b:Middle>M.</b:Middle>
            <b:First>José</b:First>
          </b:Person>
        </b:NameList>
      </b:Author>
    </b:Author>
    <b:City>San Juan</b:City>
    <b:Publisher>Universidad de Puerto Rico</b:Publisher>
    <b:RefOrder>17</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E90EEA-2768-4C4B-BA7E-90AF9CB47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100935</Words>
  <Characters>583410</Characters>
  <Application>Microsoft Office Word</Application>
  <DocSecurity>0</DocSecurity>
  <Lines>12964</Lines>
  <Paragraphs>4198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ELVIRA RODRIGUEZ FLORES</dc:creator>
  <cp:lastModifiedBy>NANCY NOHEMI HERRERA BALDERAS</cp:lastModifiedBy>
  <cp:revision>7</cp:revision>
  <dcterms:created xsi:type="dcterms:W3CDTF">2025-12-05T17:38:00Z</dcterms:created>
  <dcterms:modified xsi:type="dcterms:W3CDTF">2026-01-21T14:23:00Z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3082-12.2.0.23196</vt:lpwstr>
  </property>
  <property fmtid="{D5CDD505-2E9C-101B-9397-08002B2CF9AE}" pid="3" name="ICV">
    <vt:lpwstr>38C6D944DBF74FF3A47C2FA92FAF3490_13</vt:lpwstr>
  </property>
</Properties>
</file>